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F25D" w14:textId="77777777" w:rsidR="00D3437F" w:rsidRDefault="00D3437F" w:rsidP="00D3437F">
      <w:pPr>
        <w:jc w:val="center"/>
      </w:pPr>
      <w:r>
        <w:rPr>
          <w:noProof/>
        </w:rPr>
        <w:drawing>
          <wp:inline distT="0" distB="0" distL="0" distR="0" wp14:anchorId="2FD44296" wp14:editId="7D0B38AC">
            <wp:extent cx="2552700" cy="31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D20C" w14:textId="77777777" w:rsidR="00D3437F" w:rsidRDefault="00D3437F" w:rsidP="00D3437F">
      <w:pPr>
        <w:jc w:val="center"/>
      </w:pPr>
    </w:p>
    <w:p w14:paraId="7DBADE49" w14:textId="77777777" w:rsidR="00D3437F" w:rsidRDefault="00D3437F" w:rsidP="00D3437F">
      <w:pPr>
        <w:jc w:val="center"/>
        <w:rPr>
          <w:b/>
        </w:rPr>
      </w:pPr>
      <w:r>
        <w:rPr>
          <w:b/>
        </w:rPr>
        <w:t>CLIENT ALERT</w:t>
      </w:r>
    </w:p>
    <w:p w14:paraId="04EEA51D" w14:textId="77777777" w:rsidR="00D3437F" w:rsidRDefault="00D3437F" w:rsidP="00D3437F">
      <w:pPr>
        <w:jc w:val="center"/>
        <w:rPr>
          <w:b/>
        </w:rPr>
      </w:pPr>
    </w:p>
    <w:p w14:paraId="5240F01F" w14:textId="77777777" w:rsidR="00D3437F" w:rsidRDefault="00D3437F" w:rsidP="00D3437F">
      <w:pPr>
        <w:jc w:val="center"/>
      </w:pPr>
      <w:r>
        <w:t>October 2017</w:t>
      </w:r>
    </w:p>
    <w:p w14:paraId="2048C402" w14:textId="77777777" w:rsidR="00D3437F" w:rsidRDefault="00D3437F" w:rsidP="00D3437F">
      <w:pPr>
        <w:jc w:val="center"/>
      </w:pPr>
    </w:p>
    <w:p w14:paraId="2294460A" w14:textId="77777777" w:rsidR="00D3437F" w:rsidRDefault="00026292" w:rsidP="00D3437F">
      <w:pPr>
        <w:jc w:val="center"/>
        <w:rPr>
          <w:b/>
          <w:caps/>
        </w:rPr>
      </w:pPr>
      <w:r>
        <w:rPr>
          <w:b/>
          <w:caps/>
        </w:rPr>
        <w:t>UNDER FIRE</w:t>
      </w:r>
      <w:r w:rsidR="00D3437F">
        <w:rPr>
          <w:b/>
          <w:caps/>
        </w:rPr>
        <w:t>:</w:t>
      </w:r>
    </w:p>
    <w:p w14:paraId="2D4FA1C9" w14:textId="1B73286E" w:rsidR="00D3437F" w:rsidRPr="005C2844" w:rsidRDefault="0070669F" w:rsidP="00D3437F">
      <w:pPr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Supreme Court to Review </w:t>
      </w:r>
      <w:r w:rsidR="00E36118">
        <w:rPr>
          <w:rFonts w:ascii="Times New Roman Bold" w:hAnsi="Times New Roman Bold"/>
          <w:b/>
        </w:rPr>
        <w:t xml:space="preserve">Mandatory </w:t>
      </w:r>
      <w:r>
        <w:rPr>
          <w:rFonts w:ascii="Times New Roman Bold" w:hAnsi="Times New Roman Bold"/>
          <w:b/>
        </w:rPr>
        <w:t>E</w:t>
      </w:r>
      <w:r w:rsidR="00026292">
        <w:rPr>
          <w:rFonts w:ascii="Times New Roman Bold" w:hAnsi="Times New Roman Bold"/>
          <w:b/>
        </w:rPr>
        <w:t xml:space="preserve">mployee Class Action Waivers </w:t>
      </w:r>
    </w:p>
    <w:p w14:paraId="62FE5FAE" w14:textId="77777777" w:rsidR="00D3437F" w:rsidRDefault="00D3437F" w:rsidP="00D3437F">
      <w:pPr>
        <w:jc w:val="center"/>
      </w:pPr>
    </w:p>
    <w:p w14:paraId="53A970E0" w14:textId="77777777" w:rsidR="00D3437F" w:rsidRDefault="00D3437F" w:rsidP="00D3437F">
      <w:pPr>
        <w:jc w:val="center"/>
        <w:rPr>
          <w:b/>
        </w:rPr>
      </w:pPr>
      <w:r>
        <w:rPr>
          <w:b/>
        </w:rPr>
        <w:t>Gregory T. Laudadio</w:t>
      </w:r>
    </w:p>
    <w:p w14:paraId="265C12F9" w14:textId="77777777" w:rsidR="00D3437F" w:rsidRDefault="00D3437F" w:rsidP="00D3437F">
      <w:pPr>
        <w:jc w:val="center"/>
        <w:rPr>
          <w:b/>
        </w:rPr>
      </w:pPr>
    </w:p>
    <w:p w14:paraId="3550ACE1" w14:textId="77777777" w:rsidR="00D3437F" w:rsidRPr="00FB4565" w:rsidRDefault="00D3437F" w:rsidP="00D3437F">
      <w:pPr>
        <w:jc w:val="center"/>
        <w:rPr>
          <w:b/>
        </w:rPr>
        <w:sectPr w:rsidR="00D3437F" w:rsidRPr="00FB456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050615" w14:textId="0438DFED" w:rsidR="00F4480F" w:rsidRDefault="00BC7F0D" w:rsidP="00D3437F">
      <w:r>
        <w:t>On October 2</w:t>
      </w:r>
      <w:r w:rsidR="00F4480F">
        <w:t>, the United States Sup</w:t>
      </w:r>
      <w:r w:rsidR="00697ED5">
        <w:t>reme Court heard oral argument in</w:t>
      </w:r>
      <w:r w:rsidR="00F4480F">
        <w:t xml:space="preserve"> a group of consolidated cases</w:t>
      </w:r>
      <w:r w:rsidR="000069FF">
        <w:rPr>
          <w:rStyle w:val="FootnoteReference"/>
        </w:rPr>
        <w:footnoteReference w:id="1"/>
      </w:r>
      <w:r w:rsidR="00F4480F">
        <w:t xml:space="preserve"> to determine whether employees</w:t>
      </w:r>
      <w:r w:rsidR="00A53FE8">
        <w:t xml:space="preserve"> may be required</w:t>
      </w:r>
      <w:r w:rsidR="00F4480F">
        <w:t xml:space="preserve"> to sign mandatory arbitration agreements that bar </w:t>
      </w:r>
      <w:r w:rsidR="00A53FE8">
        <w:t>them</w:t>
      </w:r>
      <w:r w:rsidR="00F4480F">
        <w:t xml:space="preserve"> from pursuing work-related claims on a collective or class basis.</w:t>
      </w:r>
      <w:r w:rsidR="0025602A">
        <w:rPr>
          <w:rStyle w:val="FootnoteReference"/>
        </w:rPr>
        <w:footnoteReference w:id="2"/>
      </w:r>
    </w:p>
    <w:p w14:paraId="22C7455F" w14:textId="77777777" w:rsidR="00F4480F" w:rsidRDefault="00F4480F" w:rsidP="00D3437F"/>
    <w:p w14:paraId="51BD1D29" w14:textId="70877D45" w:rsidR="006F2CC4" w:rsidRDefault="006F2CC4" w:rsidP="00D3437F">
      <w:r>
        <w:t xml:space="preserve">Mandatory employment arbitration agreements have been legally enforceable for </w:t>
      </w:r>
      <w:r w:rsidR="00220C10">
        <w:t>almost 30 years</w:t>
      </w:r>
      <w:r>
        <w:t>.</w:t>
      </w:r>
      <w:r>
        <w:rPr>
          <w:rStyle w:val="FootnoteReference"/>
        </w:rPr>
        <w:footnoteReference w:id="3"/>
      </w:r>
      <w:r>
        <w:t xml:space="preserve">  </w:t>
      </w:r>
      <w:r w:rsidR="0064454F">
        <w:t>Generally, these agreements</w:t>
      </w:r>
      <w:r w:rsidR="00220C10">
        <w:t xml:space="preserve"> </w:t>
      </w:r>
      <w:r w:rsidR="00F632D6">
        <w:t>bar employees</w:t>
      </w:r>
      <w:r w:rsidR="007249EC">
        <w:t xml:space="preserve"> from bringing employment-related</w:t>
      </w:r>
      <w:r w:rsidR="00220C10">
        <w:t xml:space="preserve"> claims against employers in court</w:t>
      </w:r>
      <w:r w:rsidR="0070669F">
        <w:t>.  Instead</w:t>
      </w:r>
      <w:r w:rsidR="00220C10">
        <w:t xml:space="preserve">, the claims must be </w:t>
      </w:r>
      <w:r w:rsidR="007249EC">
        <w:t>arbitrated according to</w:t>
      </w:r>
      <w:r w:rsidR="00220C10">
        <w:t xml:space="preserve"> procedures outlined in the agreement</w:t>
      </w:r>
      <w:r w:rsidR="007249EC">
        <w:t>s</w:t>
      </w:r>
      <w:r w:rsidR="00220C10">
        <w:t xml:space="preserve">.  Employment is </w:t>
      </w:r>
      <w:r w:rsidR="007249EC">
        <w:t xml:space="preserve">typically </w:t>
      </w:r>
      <w:r w:rsidR="00220C10">
        <w:t xml:space="preserve">conditioned upon an employee’s willingness to sign </w:t>
      </w:r>
      <w:r w:rsidR="007249EC">
        <w:t>the</w:t>
      </w:r>
      <w:r w:rsidR="00220C10">
        <w:t xml:space="preserve"> agreement.  </w:t>
      </w:r>
    </w:p>
    <w:p w14:paraId="5F148AF4" w14:textId="77777777" w:rsidR="00220C10" w:rsidRDefault="00220C10" w:rsidP="00D3437F"/>
    <w:p w14:paraId="1C40B4C9" w14:textId="40D3805F" w:rsidR="006F2CC4" w:rsidRDefault="009F38C9" w:rsidP="00D3437F">
      <w:r>
        <w:t>M</w:t>
      </w:r>
      <w:r w:rsidR="00220C10">
        <w:t xml:space="preserve">andatory employment arbitration agreements </w:t>
      </w:r>
      <w:r w:rsidR="00F4480F">
        <w:t xml:space="preserve">have increasingly become the norm across the United States.  A recent study from the </w:t>
      </w:r>
      <w:r w:rsidR="00F4480F" w:rsidRPr="002D1B20">
        <w:rPr>
          <w:i/>
        </w:rPr>
        <w:t>Economic Policy Institute</w:t>
      </w:r>
      <w:r w:rsidR="00F4480F">
        <w:t xml:space="preserve"> found that </w:t>
      </w:r>
      <w:r w:rsidR="002D1B20">
        <w:t>over 55% of employees are now subject to such agreements.</w:t>
      </w:r>
      <w:r w:rsidR="003B2230">
        <w:rPr>
          <w:rStyle w:val="FootnoteReference"/>
        </w:rPr>
        <w:footnoteReference w:id="4"/>
      </w:r>
      <w:r w:rsidR="002D1B20">
        <w:t xml:space="preserve">  </w:t>
      </w:r>
    </w:p>
    <w:p w14:paraId="004C275D" w14:textId="77777777" w:rsidR="00CD0C8C" w:rsidRDefault="00CD0C8C" w:rsidP="00D3437F"/>
    <w:p w14:paraId="1E00EB2E" w14:textId="5980390D" w:rsidR="00D3437F" w:rsidRDefault="00131988" w:rsidP="0064454F">
      <w:r>
        <w:t xml:space="preserve">Currently, about 30% of </w:t>
      </w:r>
      <w:r w:rsidR="000069FF">
        <w:t xml:space="preserve">those </w:t>
      </w:r>
      <w:r>
        <w:t>arbitration agreements include</w:t>
      </w:r>
      <w:r w:rsidR="00EF0479">
        <w:t xml:space="preserve"> </w:t>
      </w:r>
      <w:r w:rsidR="00FE25FA">
        <w:t>a provision</w:t>
      </w:r>
      <w:r w:rsidR="00A07AD9">
        <w:t xml:space="preserve"> </w:t>
      </w:r>
      <w:r w:rsidR="00A53FE8">
        <w:t xml:space="preserve">that </w:t>
      </w:r>
      <w:r w:rsidR="00FE25FA">
        <w:t>prevents employees from arbitrating claims against employers</w:t>
      </w:r>
      <w:r w:rsidR="00AF38D7">
        <w:t xml:space="preserve"> collectively or as a class (</w:t>
      </w:r>
      <w:r w:rsidR="009F38C9">
        <w:t>“c</w:t>
      </w:r>
      <w:r w:rsidR="00AF38D7">
        <w:t>lass action waivers”)</w:t>
      </w:r>
      <w:r>
        <w:t>.</w:t>
      </w:r>
      <w:r w:rsidR="00A07AD9">
        <w:rPr>
          <w:rStyle w:val="FootnoteReference"/>
        </w:rPr>
        <w:footnoteReference w:id="5"/>
      </w:r>
      <w:r w:rsidR="00A07AD9">
        <w:t xml:space="preserve"> </w:t>
      </w:r>
      <w:r w:rsidR="0064454F">
        <w:t xml:space="preserve"> </w:t>
      </w:r>
      <w:r w:rsidR="00D7705E">
        <w:t xml:space="preserve">Two relatively recent Supreme Court decisions have made </w:t>
      </w:r>
      <w:r w:rsidR="00AF38D7">
        <w:t>class action</w:t>
      </w:r>
      <w:r w:rsidR="00374A13">
        <w:t xml:space="preserve"> waivers generally</w:t>
      </w:r>
      <w:r w:rsidR="00D7705E">
        <w:t xml:space="preserve"> enforceable</w:t>
      </w:r>
      <w:r w:rsidR="009F38C9">
        <w:t>,</w:t>
      </w:r>
      <w:r w:rsidR="002F147C">
        <w:rPr>
          <w:rStyle w:val="FootnoteReference"/>
        </w:rPr>
        <w:footnoteReference w:id="6"/>
      </w:r>
      <w:r w:rsidR="00ED247F">
        <w:t xml:space="preserve"> though the </w:t>
      </w:r>
      <w:r w:rsidR="002F147C">
        <w:t>challenges in those cases were based</w:t>
      </w:r>
      <w:r w:rsidR="00ED247F">
        <w:t xml:space="preserve"> on different </w:t>
      </w:r>
      <w:r w:rsidR="002F147C">
        <w:t xml:space="preserve">legal </w:t>
      </w:r>
      <w:r w:rsidR="00ED247F">
        <w:t xml:space="preserve">grounds </w:t>
      </w:r>
      <w:r w:rsidR="002F147C">
        <w:t>than the current</w:t>
      </w:r>
      <w:r w:rsidR="00307E57">
        <w:t xml:space="preserve"> consolidate</w:t>
      </w:r>
      <w:r w:rsidR="00437534">
        <w:t>d</w:t>
      </w:r>
      <w:r w:rsidR="002F147C">
        <w:t xml:space="preserve"> case</w:t>
      </w:r>
      <w:r w:rsidR="00307E57">
        <w:t>s</w:t>
      </w:r>
      <w:r w:rsidR="00ED247F">
        <w:t>.</w:t>
      </w:r>
      <w:r w:rsidR="002F147C">
        <w:rPr>
          <w:rStyle w:val="FootnoteReference"/>
        </w:rPr>
        <w:footnoteReference w:id="7"/>
      </w:r>
      <w:r w:rsidR="00F632D6">
        <w:t xml:space="preserve">  </w:t>
      </w:r>
      <w:r w:rsidR="00D7705E">
        <w:t xml:space="preserve">  </w:t>
      </w:r>
      <w:r w:rsidR="00D3437F">
        <w:t xml:space="preserve"> </w:t>
      </w:r>
    </w:p>
    <w:p w14:paraId="244B0FFD" w14:textId="77777777" w:rsidR="00D3437F" w:rsidRDefault="00D3437F" w:rsidP="00D3437F"/>
    <w:p w14:paraId="3D853339" w14:textId="3C06FFB0" w:rsidR="00EF0479" w:rsidRDefault="00D7705E" w:rsidP="00D3437F">
      <w:r>
        <w:lastRenderedPageBreak/>
        <w:t xml:space="preserve">However, the Supreme Court will now decide if class action waivers included in mandatory </w:t>
      </w:r>
      <w:r w:rsidR="00EF0479" w:rsidRPr="00374A13">
        <w:rPr>
          <w:i/>
        </w:rPr>
        <w:t>employment</w:t>
      </w:r>
      <w:r>
        <w:t xml:space="preserve"> arbitration agreements are legally enforceable under</w:t>
      </w:r>
      <w:r w:rsidR="001F029B">
        <w:t xml:space="preserve"> </w:t>
      </w:r>
      <w:r w:rsidR="001F029B" w:rsidRPr="00374A13">
        <w:rPr>
          <w:i/>
        </w:rPr>
        <w:t>federal</w:t>
      </w:r>
      <w:r w:rsidR="00FE25FA" w:rsidRPr="00374A13">
        <w:rPr>
          <w:i/>
        </w:rPr>
        <w:t xml:space="preserve"> labor</w:t>
      </w:r>
      <w:r w:rsidR="001F029B" w:rsidRPr="00374A13">
        <w:rPr>
          <w:i/>
        </w:rPr>
        <w:t xml:space="preserve"> law</w:t>
      </w:r>
      <w:r w:rsidR="001F029B">
        <w:t xml:space="preserve">.  </w:t>
      </w:r>
      <w:r w:rsidR="002F147C">
        <w:t xml:space="preserve"> </w:t>
      </w:r>
    </w:p>
    <w:p w14:paraId="4D466AB3" w14:textId="77777777" w:rsidR="00EF0479" w:rsidRDefault="00EF0479" w:rsidP="00D3437F"/>
    <w:p w14:paraId="6EB1334D" w14:textId="12D5F266" w:rsidR="00D3437F" w:rsidRDefault="00983919" w:rsidP="00D3437F">
      <w:r>
        <w:t>Claimants</w:t>
      </w:r>
      <w:r w:rsidR="00B4099E">
        <w:rPr>
          <w:rStyle w:val="FootnoteReference"/>
        </w:rPr>
        <w:footnoteReference w:id="8"/>
      </w:r>
      <w:r>
        <w:t xml:space="preserve"> </w:t>
      </w:r>
      <w:r w:rsidR="001F029B">
        <w:t>ar</w:t>
      </w:r>
      <w:r w:rsidR="00B51898">
        <w:t xml:space="preserve">gue that the interplay between </w:t>
      </w:r>
      <w:r w:rsidR="00A15C9B">
        <w:t xml:space="preserve">two federal laws, </w:t>
      </w:r>
      <w:r w:rsidR="000509AE">
        <w:t>the N</w:t>
      </w:r>
      <w:r w:rsidR="00D7705E">
        <w:t>ational Labor Relations Act</w:t>
      </w:r>
      <w:r w:rsidR="00CC4485">
        <w:rPr>
          <w:rStyle w:val="FootnoteReference"/>
        </w:rPr>
        <w:footnoteReference w:id="9"/>
      </w:r>
      <w:r w:rsidR="00D7705E">
        <w:t xml:space="preserve"> (</w:t>
      </w:r>
      <w:r w:rsidR="00131988">
        <w:t>“</w:t>
      </w:r>
      <w:r w:rsidR="001F029B">
        <w:t>NLRA</w:t>
      </w:r>
      <w:r w:rsidR="00131988">
        <w:t>”</w:t>
      </w:r>
      <w:r w:rsidR="00D7705E">
        <w:t>)</w:t>
      </w:r>
      <w:r w:rsidR="001F029B">
        <w:t xml:space="preserve"> and the Federal Arbitration Act</w:t>
      </w:r>
      <w:r w:rsidR="00CC4485">
        <w:rPr>
          <w:rStyle w:val="FootnoteReference"/>
        </w:rPr>
        <w:footnoteReference w:id="10"/>
      </w:r>
      <w:r w:rsidR="00CC4485">
        <w:t xml:space="preserve"> </w:t>
      </w:r>
      <w:r w:rsidR="001F029B">
        <w:t>(“FAA”)</w:t>
      </w:r>
      <w:r w:rsidR="00CC4485">
        <w:t>,</w:t>
      </w:r>
      <w:r w:rsidR="001F029B">
        <w:t xml:space="preserve"> preclude</w:t>
      </w:r>
      <w:r w:rsidR="00267302">
        <w:t>s</w:t>
      </w:r>
      <w:r w:rsidR="001F029B">
        <w:t xml:space="preserve"> enforcement of class action waivers.</w:t>
      </w:r>
      <w:r w:rsidR="000509AE">
        <w:t xml:space="preserve">  </w:t>
      </w:r>
      <w:r w:rsidR="00B51898">
        <w:t>Section 157</w:t>
      </w:r>
      <w:r w:rsidR="000509AE">
        <w:t xml:space="preserve"> of </w:t>
      </w:r>
      <w:r w:rsidR="001F029B">
        <w:t>the NLRA</w:t>
      </w:r>
      <w:r w:rsidR="00131988">
        <w:t xml:space="preserve"> provides employees with the right to organize and assemble for </w:t>
      </w:r>
      <w:r w:rsidR="000509AE">
        <w:t xml:space="preserve">the purpose of collective bargaining or other </w:t>
      </w:r>
      <w:r w:rsidR="001F029B">
        <w:t>“mutual aid or protection</w:t>
      </w:r>
      <w:r w:rsidR="00511067">
        <w:t>,</w:t>
      </w:r>
      <w:r w:rsidR="001F029B">
        <w:t>”</w:t>
      </w:r>
      <w:r w:rsidR="00511067">
        <w:t xml:space="preserve"> while</w:t>
      </w:r>
      <w:r w:rsidR="001F029B">
        <w:t xml:space="preserve"> </w:t>
      </w:r>
      <w:r w:rsidR="00B51898">
        <w:t xml:space="preserve">Section 158(a) makes it unlawful for employers to “interfere with, restrain, or coerce employees in the exercise of the rights guaranteed” under Section 157.  </w:t>
      </w:r>
      <w:r w:rsidR="001F029B">
        <w:t xml:space="preserve">At the same time, </w:t>
      </w:r>
      <w:r w:rsidR="00B51898">
        <w:t xml:space="preserve">Section 2 of </w:t>
      </w:r>
      <w:r w:rsidR="001F029B">
        <w:t>the FAA bans any arbitration agreement that violates federal law</w:t>
      </w:r>
      <w:r w:rsidR="00F632D6">
        <w:t xml:space="preserve">, whether it be the FAA itself or other </w:t>
      </w:r>
      <w:r>
        <w:t>laws</w:t>
      </w:r>
      <w:r w:rsidR="00D05C62">
        <w:t xml:space="preserve"> (</w:t>
      </w:r>
      <w:r w:rsidR="00D05C62" w:rsidRPr="00D05C62">
        <w:rPr>
          <w:i/>
        </w:rPr>
        <w:t>i.e.</w:t>
      </w:r>
      <w:r w:rsidR="00D05C62">
        <w:t xml:space="preserve"> the NLRA)</w:t>
      </w:r>
      <w:r w:rsidR="001F029B">
        <w:t>.</w:t>
      </w:r>
    </w:p>
    <w:p w14:paraId="0A02EBBE" w14:textId="2D1A904C" w:rsidR="00B51898" w:rsidRDefault="00B51898" w:rsidP="00D3437F"/>
    <w:p w14:paraId="3F6D0089" w14:textId="33BC339C" w:rsidR="0060618B" w:rsidRDefault="00B51898" w:rsidP="00D3437F">
      <w:r>
        <w:t xml:space="preserve">Meanwhile, </w:t>
      </w:r>
      <w:r w:rsidR="00983919">
        <w:t>Defendants</w:t>
      </w:r>
      <w:r w:rsidR="00415FAF">
        <w:rPr>
          <w:rStyle w:val="FootnoteReference"/>
        </w:rPr>
        <w:footnoteReference w:id="11"/>
      </w:r>
      <w:r>
        <w:t xml:space="preserve"> </w:t>
      </w:r>
      <w:r w:rsidR="00366FBD">
        <w:t>argue that</w:t>
      </w:r>
      <w:r w:rsidR="00D72188">
        <w:t xml:space="preserve"> </w:t>
      </w:r>
      <w:r w:rsidR="00A53FE8">
        <w:t xml:space="preserve">the NLRA and the FAA support </w:t>
      </w:r>
      <w:r w:rsidR="00D72188">
        <w:t>class action waivers</w:t>
      </w:r>
      <w:r w:rsidR="0060618B">
        <w:t>.  Defendants first point to</w:t>
      </w:r>
      <w:r w:rsidR="00D72188">
        <w:t xml:space="preserve"> </w:t>
      </w:r>
      <w:r w:rsidR="00FE25FA">
        <w:t>judicial precedent</w:t>
      </w:r>
      <w:r w:rsidR="00AB1169">
        <w:t xml:space="preserve"> </w:t>
      </w:r>
      <w:r w:rsidR="00AB43EB">
        <w:t>stating</w:t>
      </w:r>
      <w:r w:rsidR="00FE25FA">
        <w:t xml:space="preserve"> </w:t>
      </w:r>
      <w:r w:rsidR="00612F1A">
        <w:t xml:space="preserve">that </w:t>
      </w:r>
      <w:r w:rsidR="00D72188">
        <w:t>the FAA “embodies a liberal federal policy favoring arbitration agreements”</w:t>
      </w:r>
      <w:r w:rsidR="00511067">
        <w:t xml:space="preserve"> such</w:t>
      </w:r>
      <w:r w:rsidR="00612F1A">
        <w:t xml:space="preserve"> that the agreements </w:t>
      </w:r>
      <w:r w:rsidR="00A53FE8">
        <w:t xml:space="preserve">should </w:t>
      </w:r>
      <w:r w:rsidR="00612F1A">
        <w:t xml:space="preserve">be enforced </w:t>
      </w:r>
      <w:r w:rsidR="00612F1A" w:rsidRPr="00FE25FA">
        <w:rPr>
          <w:i/>
        </w:rPr>
        <w:t>according to their terms</w:t>
      </w:r>
      <w:r w:rsidR="00BF3379">
        <w:t>,</w:t>
      </w:r>
      <w:r w:rsidR="00612F1A">
        <w:t xml:space="preserve"> </w:t>
      </w:r>
      <w:r w:rsidR="00BF3379">
        <w:t xml:space="preserve">absent a showing </w:t>
      </w:r>
      <w:r w:rsidR="00AD436E">
        <w:t>that</w:t>
      </w:r>
      <w:r w:rsidR="00612F1A">
        <w:t xml:space="preserve"> </w:t>
      </w:r>
      <w:r w:rsidR="00F948F3">
        <w:t>“</w:t>
      </w:r>
      <w:r w:rsidR="00FE25FA">
        <w:t xml:space="preserve">Congress intended to </w:t>
      </w:r>
      <w:r w:rsidR="00F948F3">
        <w:t>preclude a</w:t>
      </w:r>
      <w:r w:rsidR="00BF3379">
        <w:t xml:space="preserve"> waiver </w:t>
      </w:r>
      <w:r w:rsidR="00F948F3">
        <w:t>of the</w:t>
      </w:r>
      <w:r w:rsidR="00BF3379">
        <w:t xml:space="preserve"> judicial </w:t>
      </w:r>
      <w:r w:rsidR="00F948F3">
        <w:t>forum</w:t>
      </w:r>
      <w:r w:rsidR="00511067">
        <w:t>.</w:t>
      </w:r>
      <w:r w:rsidR="00F948F3">
        <w:t>”</w:t>
      </w:r>
      <w:r w:rsidR="00511067">
        <w:rPr>
          <w:rStyle w:val="FootnoteReference"/>
        </w:rPr>
        <w:footnoteReference w:id="12"/>
      </w:r>
      <w:r w:rsidR="00511067">
        <w:t xml:space="preserve"> </w:t>
      </w:r>
      <w:r w:rsidR="00612F1A">
        <w:t xml:space="preserve"> </w:t>
      </w:r>
      <w:r w:rsidR="0060618B">
        <w:t>Defendants then argue that</w:t>
      </w:r>
      <w:r w:rsidR="00612F1A">
        <w:t xml:space="preserve"> nothing</w:t>
      </w:r>
      <w:r w:rsidR="0052567A">
        <w:t xml:space="preserve"> exists</w:t>
      </w:r>
      <w:r w:rsidR="00612F1A">
        <w:t xml:space="preserve"> in the plain text, legislative history, or statutory purpose of the NLRA </w:t>
      </w:r>
      <w:r w:rsidR="0060618B">
        <w:t>indicating</w:t>
      </w:r>
      <w:r w:rsidR="00612F1A">
        <w:t xml:space="preserve"> Congress</w:t>
      </w:r>
      <w:r w:rsidR="0060618B">
        <w:t xml:space="preserve">ional intent </w:t>
      </w:r>
      <w:r w:rsidR="00612F1A">
        <w:t xml:space="preserve">to </w:t>
      </w:r>
      <w:r w:rsidR="00AB1169">
        <w:t xml:space="preserve">preclude </w:t>
      </w:r>
      <w:r w:rsidR="0060618B">
        <w:t xml:space="preserve">either (i) </w:t>
      </w:r>
      <w:r w:rsidR="00A63612">
        <w:t>mandates that</w:t>
      </w:r>
      <w:r w:rsidR="0060618B">
        <w:t xml:space="preserve"> arbitration</w:t>
      </w:r>
      <w:r w:rsidR="00A63612">
        <w:t xml:space="preserve"> be used</w:t>
      </w:r>
      <w:r w:rsidR="0060618B">
        <w:t xml:space="preserve"> as a forum for litigating employment-related claims</w:t>
      </w:r>
      <w:r w:rsidR="009F38C9">
        <w:t>;</w:t>
      </w:r>
      <w:r w:rsidR="00DA3CD9">
        <w:rPr>
          <w:rStyle w:val="FootnoteReference"/>
        </w:rPr>
        <w:footnoteReference w:id="13"/>
      </w:r>
      <w:r w:rsidR="0060618B">
        <w:t xml:space="preserve"> or</w:t>
      </w:r>
      <w:r w:rsidR="00DA3CD9">
        <w:t xml:space="preserve"> </w:t>
      </w:r>
      <w:r w:rsidR="0060618B">
        <w:t>(ii)</w:t>
      </w:r>
      <w:r w:rsidR="00DA3CD9">
        <w:t xml:space="preserve"> more specifically to this case,</w:t>
      </w:r>
      <w:r w:rsidR="0060618B">
        <w:t xml:space="preserve"> </w:t>
      </w:r>
      <w:r w:rsidR="00A63612">
        <w:t>bans</w:t>
      </w:r>
      <w:r w:rsidR="0060618B">
        <w:t xml:space="preserve"> on collective</w:t>
      </w:r>
      <w:r w:rsidR="000069FF">
        <w:t xml:space="preserve">/class </w:t>
      </w:r>
      <w:r w:rsidR="0060618B">
        <w:t xml:space="preserve">action </w:t>
      </w:r>
      <w:r w:rsidR="00A63612">
        <w:t>as a means to resolve disputes in accordance with arbitration agreements.</w:t>
      </w:r>
      <w:r w:rsidR="00A63612">
        <w:rPr>
          <w:rStyle w:val="FootnoteReference"/>
        </w:rPr>
        <w:footnoteReference w:id="14"/>
      </w:r>
      <w:r w:rsidR="00A63612">
        <w:t xml:space="preserve"> </w:t>
      </w:r>
      <w:r w:rsidR="00A15C9B">
        <w:t xml:space="preserve"> </w:t>
      </w:r>
      <w:r w:rsidR="00A63612">
        <w:t xml:space="preserve"> </w:t>
      </w:r>
    </w:p>
    <w:p w14:paraId="7F9353E1" w14:textId="77777777" w:rsidR="00BF78F9" w:rsidRDefault="00BF78F9" w:rsidP="00D3437F"/>
    <w:p w14:paraId="0C182C9F" w14:textId="0D491EF1" w:rsidR="009F38C9" w:rsidRDefault="00A15C9B" w:rsidP="00D3437F">
      <w:r>
        <w:t xml:space="preserve">The Supreme Court’s decision will have </w:t>
      </w:r>
      <w:r w:rsidR="009F38C9">
        <w:t>important</w:t>
      </w:r>
      <w:r>
        <w:t xml:space="preserve"> implications </w:t>
      </w:r>
      <w:r w:rsidR="00CC4485">
        <w:t>for employers and employees alike</w:t>
      </w:r>
      <w:r>
        <w:t xml:space="preserve">.  </w:t>
      </w:r>
      <w:r w:rsidR="000C5C1B">
        <w:t xml:space="preserve">The sheer number of </w:t>
      </w:r>
      <w:r w:rsidR="00C1702D">
        <w:rPr>
          <w:i/>
        </w:rPr>
        <w:t>amicus c</w:t>
      </w:r>
      <w:r w:rsidR="00C1702D" w:rsidRPr="00C1702D">
        <w:rPr>
          <w:i/>
        </w:rPr>
        <w:t>uriae</w:t>
      </w:r>
      <w:r w:rsidR="000C5C1B">
        <w:t xml:space="preserve"> briefs</w:t>
      </w:r>
      <w:r w:rsidR="00B07BB2">
        <w:rPr>
          <w:rStyle w:val="FootnoteReference"/>
        </w:rPr>
        <w:footnoteReference w:id="15"/>
      </w:r>
      <w:r w:rsidR="000C5C1B">
        <w:t xml:space="preserve"> – 17 supporting Claimants and 11 supporting Defendants</w:t>
      </w:r>
      <w:r w:rsidR="009F38C9">
        <w:t xml:space="preserve"> –</w:t>
      </w:r>
    </w:p>
    <w:p w14:paraId="21DB0146" w14:textId="7CF1F2EA" w:rsidR="00991F28" w:rsidRDefault="009F38C9" w:rsidP="00D3437F">
      <w:r>
        <w:t>highlights the stakes</w:t>
      </w:r>
      <w:r w:rsidR="000C5C1B">
        <w:t xml:space="preserve">.  </w:t>
      </w:r>
      <w:r w:rsidR="00991F28">
        <w:t xml:space="preserve">The transcript of the October 2 oral argument indicates a relatively even divide among the Justices.  Some focused on protecting the rights of employees pitted against the resources of large companies, while others </w:t>
      </w:r>
      <w:r w:rsidR="001B157D">
        <w:t xml:space="preserve">concentrated on </w:t>
      </w:r>
      <w:r w:rsidR="00991F28">
        <w:t>both freedom of contract and judicial efficiency.</w:t>
      </w:r>
      <w:r w:rsidR="000C5C1B">
        <w:t xml:space="preserve">  Complicating predic</w:t>
      </w:r>
      <w:r w:rsidR="008B0E29">
        <w:t xml:space="preserve">tions is the inclusion of newly </w:t>
      </w:r>
      <w:r w:rsidR="000C5C1B">
        <w:t xml:space="preserve">appointed Justice Neil </w:t>
      </w:r>
      <w:r>
        <w:t xml:space="preserve">M. </w:t>
      </w:r>
      <w:r w:rsidR="000C5C1B">
        <w:t>Gorsuch, who</w:t>
      </w:r>
      <w:r w:rsidR="00437534">
        <w:t>,</w:t>
      </w:r>
      <w:r w:rsidR="00B07BB2">
        <w:t xml:space="preserve"> along with Justice Clarence Thomas,</w:t>
      </w:r>
      <w:r w:rsidR="000C5C1B">
        <w:t xml:space="preserve"> was silent during oral argument</w:t>
      </w:r>
      <w:r w:rsidR="008B0E29">
        <w:t>, offering no hints as to where he stands on the issue</w:t>
      </w:r>
      <w:r w:rsidR="000C5C1B">
        <w:t>.</w:t>
      </w:r>
      <w:r w:rsidR="000A1262">
        <w:t xml:space="preserve">  </w:t>
      </w:r>
    </w:p>
    <w:p w14:paraId="7BC6D7DF" w14:textId="165470A3" w:rsidR="008B0E29" w:rsidRDefault="008B0E29" w:rsidP="00D3437F"/>
    <w:p w14:paraId="4071E2F9" w14:textId="570EF5C4" w:rsidR="008B0E29" w:rsidRDefault="008B0E29" w:rsidP="00D3437F">
      <w:r>
        <w:t xml:space="preserve">Another </w:t>
      </w:r>
      <w:r w:rsidR="00191F67">
        <w:t>complicating</w:t>
      </w:r>
      <w:r>
        <w:t xml:space="preserve"> factor is the rather </w:t>
      </w:r>
      <w:r w:rsidR="009F38C9">
        <w:t>contradictory</w:t>
      </w:r>
      <w:r w:rsidR="00191F67">
        <w:t xml:space="preserve"> circumstances surrounding the appeal of the </w:t>
      </w:r>
      <w:r w:rsidR="00191F67" w:rsidRPr="00191F67">
        <w:rPr>
          <w:u w:val="single"/>
        </w:rPr>
        <w:t>Murphy Oil</w:t>
      </w:r>
      <w:r w:rsidR="00191F67">
        <w:t xml:space="preserve"> case.</w:t>
      </w:r>
      <w:r>
        <w:t xml:space="preserve"> </w:t>
      </w:r>
      <w:r w:rsidR="00191F67">
        <w:t xml:space="preserve"> When the </w:t>
      </w:r>
      <w:r w:rsidR="00191F67">
        <w:lastRenderedPageBreak/>
        <w:t>NLRB filed its pe</w:t>
      </w:r>
      <w:bookmarkStart w:id="0" w:name="_GoBack"/>
      <w:bookmarkEnd w:id="0"/>
      <w:r w:rsidR="00191F67">
        <w:t>tition for certiorari with the Supreme Court in September 2016, it was represented by the United States Solicitor General’</w:t>
      </w:r>
      <w:r w:rsidR="0043371E">
        <w:t>s Office</w:t>
      </w:r>
      <w:r w:rsidR="00191F67">
        <w:t>, which argued that the</w:t>
      </w:r>
      <w:r w:rsidR="0043371E">
        <w:t xml:space="preserve"> Supreme Court should overrule the </w:t>
      </w:r>
      <w:r w:rsidR="00191F67">
        <w:t>Fifth Circuit</w:t>
      </w:r>
      <w:r w:rsidR="0043371E">
        <w:t>’</w:t>
      </w:r>
      <w:r w:rsidR="00191F67">
        <w:t>s decision</w:t>
      </w:r>
      <w:r w:rsidR="0043371E">
        <w:t xml:space="preserve"> to outlaw class action waivers</w:t>
      </w:r>
      <w:r w:rsidR="00191F67">
        <w:t>.</w:t>
      </w:r>
      <w:r w:rsidR="00030FE4">
        <w:rPr>
          <w:rStyle w:val="FootnoteReference"/>
        </w:rPr>
        <w:footnoteReference w:id="16"/>
      </w:r>
      <w:r w:rsidR="00191F67">
        <w:t xml:space="preserve">  Yet, this past summer, after the Supreme Court had agreed to hear the petition, the </w:t>
      </w:r>
      <w:r w:rsidR="0043371E">
        <w:t>Solicitor General’s Office</w:t>
      </w:r>
      <w:r w:rsidR="00191F67">
        <w:t xml:space="preserve"> filed an </w:t>
      </w:r>
      <w:r w:rsidR="00191F67" w:rsidRPr="00191F67">
        <w:rPr>
          <w:i/>
        </w:rPr>
        <w:t>amicus curiae</w:t>
      </w:r>
      <w:r w:rsidR="00191F67">
        <w:t xml:space="preserve"> brief</w:t>
      </w:r>
      <w:r w:rsidR="0043371E">
        <w:t xml:space="preserve"> requesting that the Supreme Court rule </w:t>
      </w:r>
      <w:r w:rsidR="00191F67" w:rsidRPr="00191F67">
        <w:rPr>
          <w:i/>
        </w:rPr>
        <w:t>in favor of the employers</w:t>
      </w:r>
      <w:r w:rsidR="0043371E">
        <w:t>.</w:t>
      </w:r>
      <w:r w:rsidR="00C5679C">
        <w:rPr>
          <w:rStyle w:val="FootnoteReference"/>
        </w:rPr>
        <w:footnoteReference w:id="17"/>
      </w:r>
      <w:r w:rsidR="00C5679C">
        <w:t xml:space="preserve">  Acting Solicitor General Jeffrey Wall stated that</w:t>
      </w:r>
      <w:r w:rsidR="00437534">
        <w:t>,</w:t>
      </w:r>
      <w:r w:rsidR="00C5679C">
        <w:t xml:space="preserve"> despite his office’s original position, in the wake of the change in administrations, his office had “</w:t>
      </w:r>
      <w:r w:rsidR="00C5679C" w:rsidRPr="00C5679C">
        <w:t xml:space="preserve">reconsidered the issue and </w:t>
      </w:r>
      <w:r w:rsidR="00C5679C">
        <w:t>reached the opposite conclusion.”</w:t>
      </w:r>
      <w:r w:rsidR="00C5679C">
        <w:rPr>
          <w:rStyle w:val="FootnoteReference"/>
        </w:rPr>
        <w:footnoteReference w:id="18"/>
      </w:r>
    </w:p>
    <w:p w14:paraId="7DB74D20" w14:textId="77777777" w:rsidR="00991F28" w:rsidRDefault="00991F28" w:rsidP="00D3437F"/>
    <w:p w14:paraId="70F4D267" w14:textId="77777777" w:rsidR="009F38C9" w:rsidRDefault="009F38C9" w:rsidP="00D3437F"/>
    <w:p w14:paraId="48AC0C4D" w14:textId="77777777" w:rsidR="009F38C9" w:rsidRDefault="009F38C9" w:rsidP="00D3437F"/>
    <w:p w14:paraId="1A12DB95" w14:textId="77777777" w:rsidR="009F38C9" w:rsidRDefault="009F38C9" w:rsidP="00D3437F"/>
    <w:p w14:paraId="7416C1F6" w14:textId="77777777" w:rsidR="009F38C9" w:rsidRDefault="009F38C9" w:rsidP="00D3437F"/>
    <w:p w14:paraId="508BB146" w14:textId="77777777" w:rsidR="009F38C9" w:rsidRDefault="009F38C9" w:rsidP="00D3437F"/>
    <w:p w14:paraId="588BD497" w14:textId="77777777" w:rsidR="009F38C9" w:rsidRDefault="009F38C9" w:rsidP="00D3437F"/>
    <w:p w14:paraId="29B915B9" w14:textId="77777777" w:rsidR="009F38C9" w:rsidRDefault="009F38C9" w:rsidP="00D3437F"/>
    <w:p w14:paraId="0F932BFE" w14:textId="77777777" w:rsidR="009F38C9" w:rsidRDefault="009F38C9" w:rsidP="00D3437F"/>
    <w:p w14:paraId="7D568038" w14:textId="77777777" w:rsidR="009F38C9" w:rsidRDefault="009F38C9" w:rsidP="00D3437F"/>
    <w:p w14:paraId="6271D477" w14:textId="77777777" w:rsidR="009F38C9" w:rsidRDefault="009F38C9" w:rsidP="00D3437F"/>
    <w:p w14:paraId="089BD6F8" w14:textId="77777777" w:rsidR="009F38C9" w:rsidRDefault="009F38C9" w:rsidP="00D3437F"/>
    <w:p w14:paraId="5A0B5CDE" w14:textId="77777777" w:rsidR="009F38C9" w:rsidRDefault="009F38C9" w:rsidP="00D3437F"/>
    <w:p w14:paraId="10508AE0" w14:textId="77777777" w:rsidR="009F38C9" w:rsidRDefault="009F38C9" w:rsidP="00D3437F"/>
    <w:p w14:paraId="13AE5C52" w14:textId="77777777" w:rsidR="009F38C9" w:rsidRDefault="009F38C9" w:rsidP="00D3437F"/>
    <w:p w14:paraId="7C5712AE" w14:textId="77777777" w:rsidR="009F38C9" w:rsidRDefault="009F38C9" w:rsidP="00D3437F"/>
    <w:p w14:paraId="1AA28A73" w14:textId="77777777" w:rsidR="009F38C9" w:rsidRDefault="009F38C9" w:rsidP="00D3437F"/>
    <w:p w14:paraId="46AB93E1" w14:textId="77777777" w:rsidR="009F38C9" w:rsidRDefault="009F38C9" w:rsidP="00D3437F"/>
    <w:p w14:paraId="39D9B70D" w14:textId="77777777" w:rsidR="009F38C9" w:rsidRDefault="009F38C9" w:rsidP="00D3437F"/>
    <w:p w14:paraId="50EAA719" w14:textId="77777777" w:rsidR="009F38C9" w:rsidRDefault="009F38C9" w:rsidP="00D3437F"/>
    <w:p w14:paraId="5CFD42A7" w14:textId="70503ABF" w:rsidR="001F029B" w:rsidRDefault="00AD7BC6" w:rsidP="00D3437F">
      <w:r>
        <w:t xml:space="preserve">A ruling in favor of </w:t>
      </w:r>
      <w:r w:rsidR="00A15C9B">
        <w:t>Claimants</w:t>
      </w:r>
      <w:r>
        <w:t xml:space="preserve"> </w:t>
      </w:r>
      <w:r w:rsidR="009F38C9">
        <w:t>c</w:t>
      </w:r>
      <w:r w:rsidR="00A15C9B">
        <w:t>ould jeopardize</w:t>
      </w:r>
      <w:r w:rsidR="00192AC6">
        <w:t xml:space="preserve"> </w:t>
      </w:r>
      <w:r w:rsidR="00A00D7D">
        <w:t xml:space="preserve">millions of </w:t>
      </w:r>
      <w:r w:rsidR="00D05C62">
        <w:t>arbitration agreements</w:t>
      </w:r>
      <w:r w:rsidR="008D2E0C">
        <w:t>, while a ruling for Defendants would cement</w:t>
      </w:r>
      <w:r>
        <w:t xml:space="preserve"> the right to </w:t>
      </w:r>
      <w:r w:rsidR="00A53FE8">
        <w:t xml:space="preserve">contract with </w:t>
      </w:r>
      <w:r>
        <w:t>employees to litigate in</w:t>
      </w:r>
      <w:r w:rsidR="00A53FE8">
        <w:t xml:space="preserve"> a certain</w:t>
      </w:r>
      <w:r>
        <w:t xml:space="preserve"> manner</w:t>
      </w:r>
      <w:r w:rsidR="00A53FE8">
        <w:t xml:space="preserve">.  </w:t>
      </w:r>
      <w:r>
        <w:t xml:space="preserve">Either way, </w:t>
      </w:r>
      <w:r w:rsidR="004B1CCE">
        <w:t>parties currently bound by</w:t>
      </w:r>
      <w:r>
        <w:t xml:space="preserve"> class action waivers need to pay close attention to the Supreme Court’s impending decision</w:t>
      </w:r>
      <w:r w:rsidR="008D2E0C">
        <w:t xml:space="preserve">, which </w:t>
      </w:r>
      <w:r w:rsidR="00CC4485">
        <w:t>will likely</w:t>
      </w:r>
      <w:r w:rsidR="008D2E0C">
        <w:t xml:space="preserve"> be announced in early 2018. </w:t>
      </w:r>
    </w:p>
    <w:p w14:paraId="7AF2E405" w14:textId="77777777" w:rsidR="00D7705E" w:rsidRDefault="00D7705E" w:rsidP="00D3437F"/>
    <w:p w14:paraId="53228E79" w14:textId="68A387E0" w:rsidR="00D3437F" w:rsidRDefault="00D3437F" w:rsidP="00D3437F">
      <w:r>
        <w:rPr>
          <w:i/>
          <w:iCs/>
          <w:sz w:val="23"/>
          <w:szCs w:val="23"/>
        </w:rPr>
        <w:t xml:space="preserve">Gregory T. </w:t>
      </w:r>
      <w:proofErr w:type="spellStart"/>
      <w:r>
        <w:rPr>
          <w:i/>
          <w:iCs/>
          <w:sz w:val="23"/>
          <w:szCs w:val="23"/>
        </w:rPr>
        <w:t>Laudadio’s</w:t>
      </w:r>
      <w:proofErr w:type="spellEnd"/>
      <w:r w:rsidR="00183251">
        <w:rPr>
          <w:i/>
          <w:iCs/>
          <w:sz w:val="23"/>
          <w:szCs w:val="23"/>
        </w:rPr>
        <w:t xml:space="preserve"> Pennsylvania</w:t>
      </w:r>
      <w:r>
        <w:rPr>
          <w:i/>
          <w:iCs/>
          <w:sz w:val="23"/>
          <w:szCs w:val="23"/>
        </w:rPr>
        <w:t xml:space="preserve"> Bar Admission is</w:t>
      </w:r>
      <w:r w:rsidR="00183251">
        <w:rPr>
          <w:i/>
          <w:iCs/>
          <w:sz w:val="23"/>
          <w:szCs w:val="23"/>
        </w:rPr>
        <w:t xml:space="preserve"> expected in December 2017</w:t>
      </w:r>
      <w:r>
        <w:rPr>
          <w:i/>
          <w:iCs/>
          <w:sz w:val="23"/>
          <w:szCs w:val="23"/>
        </w:rPr>
        <w:t>.  He may be reached at 610-408-2052, or at glaudadio@rubinfortunato.com.</w:t>
      </w:r>
      <w:r w:rsidR="00CC4485">
        <w:rPr>
          <w:i/>
          <w:iCs/>
          <w:sz w:val="23"/>
          <w:szCs w:val="23"/>
        </w:rPr>
        <w:t xml:space="preserve"> </w:t>
      </w:r>
    </w:p>
    <w:p w14:paraId="4BA5B9C3" w14:textId="2E42B04B" w:rsidR="00545501" w:rsidRDefault="00545501"/>
    <w:sectPr w:rsidR="00545501" w:rsidSect="008B298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ECFD" w14:textId="77777777" w:rsidR="00D3437F" w:rsidRDefault="00D3437F" w:rsidP="00D3437F">
      <w:r>
        <w:separator/>
      </w:r>
    </w:p>
  </w:endnote>
  <w:endnote w:type="continuationSeparator" w:id="0">
    <w:p w14:paraId="0ABC54EC" w14:textId="77777777" w:rsidR="00D3437F" w:rsidRDefault="00D3437F" w:rsidP="00D3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9527" w14:textId="77777777" w:rsidR="00D3437F" w:rsidRDefault="00D3437F" w:rsidP="008B298E">
    <w:pPr>
      <w:pStyle w:val="Default"/>
    </w:pPr>
  </w:p>
  <w:p w14:paraId="74C3D39B" w14:textId="77777777" w:rsidR="00D3437F" w:rsidRDefault="00D3437F" w:rsidP="008B298E">
    <w:pPr>
      <w:pStyle w:val="Footer"/>
      <w:jc w:val="center"/>
    </w:pPr>
    <w:r>
      <w:t xml:space="preserve"> </w:t>
    </w:r>
    <w:r>
      <w:rPr>
        <w:sz w:val="20"/>
        <w:szCs w:val="20"/>
      </w:rPr>
      <w:t>This newsletter is designed to provide one perspective regarding recent legal developments, and is not intended to serve as legal advice, nor does it establish an attorney-client relationship with any reader of the article where one does not exist.  Always consult an attorney with specific legal issues.</w:t>
    </w:r>
  </w:p>
  <w:p w14:paraId="1799C45E" w14:textId="77777777" w:rsidR="00D3437F" w:rsidRDefault="00D3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49FD" w14:textId="77777777" w:rsidR="00D3437F" w:rsidRDefault="00D3437F" w:rsidP="00D3437F">
      <w:r>
        <w:separator/>
      </w:r>
    </w:p>
  </w:footnote>
  <w:footnote w:type="continuationSeparator" w:id="0">
    <w:p w14:paraId="613C103C" w14:textId="77777777" w:rsidR="00D3437F" w:rsidRDefault="00D3437F" w:rsidP="00D3437F">
      <w:r>
        <w:continuationSeparator/>
      </w:r>
    </w:p>
  </w:footnote>
  <w:footnote w:id="1">
    <w:p w14:paraId="14F346DD" w14:textId="77777777" w:rsidR="000069FF" w:rsidRPr="00C5679C" w:rsidRDefault="000069FF" w:rsidP="000069FF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 </w:t>
      </w:r>
      <w:r w:rsidRPr="00C5679C">
        <w:rPr>
          <w:sz w:val="20"/>
          <w:u w:val="single"/>
        </w:rPr>
        <w:t>NLRB v. Murphy Oil USA, Inc.</w:t>
      </w:r>
      <w:r w:rsidRPr="00C5679C">
        <w:rPr>
          <w:sz w:val="20"/>
        </w:rPr>
        <w:t xml:space="preserve"> (No. 16-307); </w:t>
      </w:r>
      <w:r w:rsidRPr="00C5679C">
        <w:rPr>
          <w:sz w:val="20"/>
          <w:u w:val="single"/>
        </w:rPr>
        <w:t>Epic Systems Corporation v. Lewis</w:t>
      </w:r>
      <w:r w:rsidRPr="00C5679C">
        <w:rPr>
          <w:sz w:val="20"/>
        </w:rPr>
        <w:t xml:space="preserve"> (No. 16-285); </w:t>
      </w:r>
      <w:r w:rsidRPr="00C5679C">
        <w:rPr>
          <w:sz w:val="20"/>
          <w:u w:val="single"/>
        </w:rPr>
        <w:t>Ernst and Young LLP v. Morris</w:t>
      </w:r>
      <w:r w:rsidRPr="00C5679C">
        <w:rPr>
          <w:sz w:val="20"/>
        </w:rPr>
        <w:t xml:space="preserve"> (No. 16-300).</w:t>
      </w:r>
    </w:p>
  </w:footnote>
  <w:footnote w:id="2">
    <w:p w14:paraId="53955492" w14:textId="0C8AE06A" w:rsidR="0025602A" w:rsidRPr="00C5679C" w:rsidRDefault="0025602A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="000069FF" w:rsidRPr="00C5679C">
        <w:rPr>
          <w:sz w:val="20"/>
        </w:rPr>
        <w:t>In a c</w:t>
      </w:r>
      <w:r w:rsidRPr="00C5679C">
        <w:rPr>
          <w:sz w:val="20"/>
        </w:rPr>
        <w:t>ollective action</w:t>
      </w:r>
      <w:r w:rsidR="000069FF" w:rsidRPr="00C5679C">
        <w:rPr>
          <w:sz w:val="20"/>
        </w:rPr>
        <w:t xml:space="preserve">, </w:t>
      </w:r>
      <w:r w:rsidRPr="00C5679C">
        <w:rPr>
          <w:sz w:val="20"/>
        </w:rPr>
        <w:t>claimants are required to opt in</w:t>
      </w:r>
      <w:r w:rsidR="000069FF" w:rsidRPr="00C5679C">
        <w:rPr>
          <w:sz w:val="20"/>
        </w:rPr>
        <w:t xml:space="preserve"> to the lawsuit.  In </w:t>
      </w:r>
      <w:r w:rsidRPr="00C5679C">
        <w:rPr>
          <w:sz w:val="20"/>
        </w:rPr>
        <w:t>class actions</w:t>
      </w:r>
      <w:r w:rsidR="000069FF" w:rsidRPr="00C5679C">
        <w:rPr>
          <w:sz w:val="20"/>
        </w:rPr>
        <w:t xml:space="preserve">, claims are </w:t>
      </w:r>
      <w:r w:rsidRPr="00C5679C">
        <w:rPr>
          <w:sz w:val="20"/>
        </w:rPr>
        <w:t xml:space="preserve">included unless they opt out. </w:t>
      </w:r>
    </w:p>
  </w:footnote>
  <w:footnote w:id="3">
    <w:p w14:paraId="7CC288F9" w14:textId="77777777" w:rsidR="006F2CC4" w:rsidRPr="00C5679C" w:rsidRDefault="006F2CC4" w:rsidP="006F2CC4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Pr="00C5679C">
        <w:rPr>
          <w:i/>
          <w:sz w:val="20"/>
        </w:rPr>
        <w:t>See</w:t>
      </w:r>
      <w:r w:rsidRPr="00C5679C">
        <w:rPr>
          <w:sz w:val="20"/>
        </w:rPr>
        <w:t xml:space="preserve"> </w:t>
      </w:r>
      <w:r w:rsidRPr="00C5679C">
        <w:rPr>
          <w:sz w:val="20"/>
          <w:u w:val="single"/>
        </w:rPr>
        <w:t>Gilmer v. Interstate/Johnson Lane Corp.</w:t>
      </w:r>
      <w:r w:rsidRPr="00C5679C">
        <w:rPr>
          <w:sz w:val="20"/>
        </w:rPr>
        <w:t>, 500 U.S. 20 (1991).</w:t>
      </w:r>
    </w:p>
  </w:footnote>
  <w:footnote w:id="4">
    <w:p w14:paraId="4E0DBFA1" w14:textId="77777777" w:rsidR="003B2230" w:rsidRPr="00C5679C" w:rsidRDefault="003B2230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="007462C2" w:rsidRPr="00C5679C">
        <w:rPr>
          <w:sz w:val="20"/>
        </w:rPr>
        <w:t xml:space="preserve">Alexander J.S. Colvin, </w:t>
      </w:r>
      <w:r w:rsidR="007462C2" w:rsidRPr="00C5679C">
        <w:rPr>
          <w:sz w:val="20"/>
          <w:u w:val="single"/>
        </w:rPr>
        <w:t>The Growing Use of Mandatory Arbitration</w:t>
      </w:r>
      <w:r w:rsidR="007462C2" w:rsidRPr="00C5679C">
        <w:rPr>
          <w:sz w:val="20"/>
        </w:rPr>
        <w:t xml:space="preserve">, </w:t>
      </w:r>
      <w:r w:rsidR="007462C2" w:rsidRPr="00C5679C">
        <w:rPr>
          <w:smallCaps/>
          <w:sz w:val="20"/>
        </w:rPr>
        <w:t xml:space="preserve">Econ. </w:t>
      </w:r>
      <w:proofErr w:type="spellStart"/>
      <w:r w:rsidR="007462C2" w:rsidRPr="00C5679C">
        <w:rPr>
          <w:smallCaps/>
          <w:sz w:val="20"/>
        </w:rPr>
        <w:t>Pol’y</w:t>
      </w:r>
      <w:proofErr w:type="spellEnd"/>
      <w:r w:rsidR="007462C2" w:rsidRPr="00C5679C">
        <w:rPr>
          <w:smallCaps/>
          <w:sz w:val="20"/>
        </w:rPr>
        <w:t xml:space="preserve"> J.</w:t>
      </w:r>
      <w:r w:rsidR="007462C2" w:rsidRPr="00C5679C">
        <w:rPr>
          <w:sz w:val="20"/>
        </w:rPr>
        <w:t xml:space="preserve">, September 27, 2017, at 1. </w:t>
      </w:r>
    </w:p>
  </w:footnote>
  <w:footnote w:id="5">
    <w:p w14:paraId="36CD353A" w14:textId="77777777" w:rsidR="00A07AD9" w:rsidRPr="00C5679C" w:rsidRDefault="00A07AD9" w:rsidP="00A07AD9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Pr="00C5679C">
        <w:rPr>
          <w:i/>
          <w:sz w:val="20"/>
        </w:rPr>
        <w:t>See</w:t>
      </w:r>
      <w:r w:rsidRPr="00C5679C">
        <w:rPr>
          <w:sz w:val="20"/>
        </w:rPr>
        <w:t xml:space="preserve"> Colvin at 2.</w:t>
      </w:r>
    </w:p>
  </w:footnote>
  <w:footnote w:id="6">
    <w:p w14:paraId="6B306E5E" w14:textId="77777777" w:rsidR="002F147C" w:rsidRPr="00C5679C" w:rsidRDefault="002F147C" w:rsidP="002F147C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Pr="00C5679C">
        <w:rPr>
          <w:i/>
          <w:sz w:val="20"/>
        </w:rPr>
        <w:t>See</w:t>
      </w:r>
      <w:r w:rsidRPr="00C5679C">
        <w:rPr>
          <w:sz w:val="20"/>
        </w:rPr>
        <w:t xml:space="preserve"> </w:t>
      </w:r>
      <w:r w:rsidRPr="00C5679C">
        <w:rPr>
          <w:sz w:val="20"/>
          <w:u w:val="single"/>
        </w:rPr>
        <w:t>AT&amp;T Mobility LLC v. Concepcion</w:t>
      </w:r>
      <w:r w:rsidRPr="00C5679C">
        <w:rPr>
          <w:sz w:val="20"/>
        </w:rPr>
        <w:t xml:space="preserve">, 563 U.S. 333 (2011); </w:t>
      </w:r>
      <w:r w:rsidRPr="00C5679C">
        <w:rPr>
          <w:sz w:val="20"/>
          <w:u w:val="single"/>
        </w:rPr>
        <w:t>American Express Co. v. Italian Colors Restaurant</w:t>
      </w:r>
      <w:r w:rsidRPr="00C5679C">
        <w:rPr>
          <w:sz w:val="20"/>
        </w:rPr>
        <w:t>, 133 S. Ct. 2304 (2013).</w:t>
      </w:r>
    </w:p>
  </w:footnote>
  <w:footnote w:id="7">
    <w:p w14:paraId="5C95FDFD" w14:textId="3B2016AB" w:rsidR="002F147C" w:rsidRPr="00C5679C" w:rsidRDefault="002F147C" w:rsidP="009A1045">
      <w:pPr>
        <w:pStyle w:val="CommentText"/>
      </w:pPr>
      <w:r w:rsidRPr="00C5679C">
        <w:rPr>
          <w:rStyle w:val="FootnoteReference"/>
        </w:rPr>
        <w:footnoteRef/>
      </w:r>
      <w:r w:rsidR="009A1045" w:rsidRPr="00C5679C">
        <w:t xml:space="preserve"> </w:t>
      </w:r>
      <w:r w:rsidRPr="00C5679C">
        <w:rPr>
          <w:u w:val="single"/>
        </w:rPr>
        <w:t>Concepcion</w:t>
      </w:r>
      <w:r w:rsidRPr="00C5679C">
        <w:t xml:space="preserve"> </w:t>
      </w:r>
      <w:r w:rsidR="009A1045" w:rsidRPr="00C5679C">
        <w:t xml:space="preserve">was based on a challenge under </w:t>
      </w:r>
      <w:r w:rsidRPr="00C5679C">
        <w:t>California</w:t>
      </w:r>
      <w:r w:rsidR="009A1045" w:rsidRPr="00C5679C">
        <w:t xml:space="preserve"> state</w:t>
      </w:r>
      <w:r w:rsidRPr="00C5679C">
        <w:t xml:space="preserve"> law, which </w:t>
      </w:r>
      <w:r w:rsidR="009A1045" w:rsidRPr="00C5679C">
        <w:t>the Supreme Court</w:t>
      </w:r>
      <w:r w:rsidRPr="00C5679C">
        <w:t xml:space="preserve"> determined was preempted by the F</w:t>
      </w:r>
      <w:r w:rsidR="009F38C9">
        <w:t xml:space="preserve">ederal </w:t>
      </w:r>
      <w:r w:rsidRPr="00C5679C">
        <w:t>A</w:t>
      </w:r>
      <w:r w:rsidR="009F38C9">
        <w:t xml:space="preserve">rbitration </w:t>
      </w:r>
      <w:r w:rsidRPr="00C5679C">
        <w:t>A</w:t>
      </w:r>
      <w:r w:rsidR="009F38C9">
        <w:t>ct</w:t>
      </w:r>
      <w:r w:rsidRPr="00C5679C">
        <w:t>.</w:t>
      </w:r>
      <w:r w:rsidR="009A1045" w:rsidRPr="00C5679C">
        <w:t xml:space="preserve"> </w:t>
      </w:r>
      <w:r w:rsidRPr="00C5679C">
        <w:t xml:space="preserve"> </w:t>
      </w:r>
      <w:r w:rsidRPr="00C5679C">
        <w:rPr>
          <w:u w:val="single"/>
        </w:rPr>
        <w:t>Am</w:t>
      </w:r>
      <w:r w:rsidR="009A1045" w:rsidRPr="00C5679C">
        <w:rPr>
          <w:u w:val="single"/>
        </w:rPr>
        <w:t xml:space="preserve">erican </w:t>
      </w:r>
      <w:r w:rsidRPr="00C5679C">
        <w:rPr>
          <w:u w:val="single"/>
        </w:rPr>
        <w:t>Ex</w:t>
      </w:r>
      <w:r w:rsidR="009A1045" w:rsidRPr="00C5679C">
        <w:rPr>
          <w:u w:val="single"/>
        </w:rPr>
        <w:t>press</w:t>
      </w:r>
      <w:r w:rsidRPr="00C5679C">
        <w:t xml:space="preserve"> addressed (i) whether the F</w:t>
      </w:r>
      <w:r w:rsidR="009F38C9">
        <w:t xml:space="preserve">ederal </w:t>
      </w:r>
      <w:r w:rsidRPr="00C5679C">
        <w:t>A</w:t>
      </w:r>
      <w:r w:rsidR="009F38C9">
        <w:t xml:space="preserve">rbitration </w:t>
      </w:r>
      <w:r w:rsidRPr="00C5679C">
        <w:t>A</w:t>
      </w:r>
      <w:r w:rsidR="009F38C9">
        <w:t>ct</w:t>
      </w:r>
      <w:r w:rsidRPr="00C5679C">
        <w:t xml:space="preserve"> permits courts to invalidate </w:t>
      </w:r>
      <w:r w:rsidR="009A1045" w:rsidRPr="00C5679C">
        <w:t xml:space="preserve">class action </w:t>
      </w:r>
      <w:r w:rsidRPr="00C5679C">
        <w:t xml:space="preserve">waivers based on the </w:t>
      </w:r>
      <w:r w:rsidR="009A1045" w:rsidRPr="00C5679C">
        <w:t xml:space="preserve">litigation </w:t>
      </w:r>
      <w:r w:rsidRPr="00C5679C">
        <w:t>cost to</w:t>
      </w:r>
      <w:r w:rsidR="009A1045" w:rsidRPr="00C5679C">
        <w:t xml:space="preserve"> individual</w:t>
      </w:r>
      <w:r w:rsidRPr="00C5679C">
        <w:t xml:space="preserve"> plaintiffs; and (ii) whether </w:t>
      </w:r>
      <w:r w:rsidR="009A1045" w:rsidRPr="00C5679C">
        <w:t xml:space="preserve">federal </w:t>
      </w:r>
      <w:r w:rsidRPr="00C5679C">
        <w:t>antitrust law demonstrates</w:t>
      </w:r>
      <w:r w:rsidR="009A1045" w:rsidRPr="00C5679C">
        <w:t xml:space="preserve"> a</w:t>
      </w:r>
      <w:r w:rsidRPr="00C5679C">
        <w:t xml:space="preserve"> Congressional intent to preclude </w:t>
      </w:r>
      <w:r w:rsidR="009A1045" w:rsidRPr="00C5679C">
        <w:t xml:space="preserve">class action </w:t>
      </w:r>
      <w:r w:rsidRPr="00C5679C">
        <w:t>waivers.</w:t>
      </w:r>
      <w:r w:rsidR="009A1045" w:rsidRPr="00C5679C">
        <w:t xml:space="preserve">  In both cases, the Supreme Court upheld the waivers.  Now, the Court is considering a chall</w:t>
      </w:r>
      <w:r w:rsidR="00AD0F69">
        <w:t xml:space="preserve">enge based on federal labor law, a novel issue. </w:t>
      </w:r>
    </w:p>
  </w:footnote>
  <w:footnote w:id="8">
    <w:p w14:paraId="34C0FD89" w14:textId="0BACDCFA" w:rsidR="00B4099E" w:rsidRPr="00C5679C" w:rsidRDefault="00B4099E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="00437534">
        <w:rPr>
          <w:sz w:val="20"/>
        </w:rPr>
        <w:t>The Claimants are e</w:t>
      </w:r>
      <w:r w:rsidRPr="00C5679C">
        <w:rPr>
          <w:sz w:val="20"/>
        </w:rPr>
        <w:t>mployees who, despite having agreed to class action waivers, nonetheless brought class action suits in federal court.  The N</w:t>
      </w:r>
      <w:r w:rsidR="00437534">
        <w:rPr>
          <w:sz w:val="20"/>
        </w:rPr>
        <w:t xml:space="preserve">ational </w:t>
      </w:r>
      <w:r w:rsidRPr="00C5679C">
        <w:rPr>
          <w:sz w:val="20"/>
        </w:rPr>
        <w:t>L</w:t>
      </w:r>
      <w:r w:rsidR="00437534">
        <w:rPr>
          <w:sz w:val="20"/>
        </w:rPr>
        <w:t xml:space="preserve">abor </w:t>
      </w:r>
      <w:r w:rsidRPr="00C5679C">
        <w:rPr>
          <w:sz w:val="20"/>
        </w:rPr>
        <w:t>R</w:t>
      </w:r>
      <w:r w:rsidR="00437534">
        <w:rPr>
          <w:sz w:val="20"/>
        </w:rPr>
        <w:t xml:space="preserve">elations </w:t>
      </w:r>
      <w:r w:rsidRPr="00C5679C">
        <w:rPr>
          <w:sz w:val="20"/>
        </w:rPr>
        <w:t>B</w:t>
      </w:r>
      <w:r w:rsidR="00437534">
        <w:rPr>
          <w:sz w:val="20"/>
        </w:rPr>
        <w:t>oard</w:t>
      </w:r>
      <w:r w:rsidRPr="00C5679C">
        <w:rPr>
          <w:sz w:val="20"/>
        </w:rPr>
        <w:t xml:space="preserve"> </w:t>
      </w:r>
      <w:r w:rsidR="00437534">
        <w:rPr>
          <w:sz w:val="20"/>
        </w:rPr>
        <w:t xml:space="preserve">(“NLRB”) </w:t>
      </w:r>
      <w:r w:rsidRPr="00C5679C">
        <w:rPr>
          <w:sz w:val="20"/>
        </w:rPr>
        <w:t>became a party in only one of the consolidated cases (</w:t>
      </w:r>
      <w:r w:rsidRPr="00C5679C">
        <w:rPr>
          <w:sz w:val="20"/>
          <w:u w:val="single"/>
        </w:rPr>
        <w:t>Murphy Oil</w:t>
      </w:r>
      <w:r w:rsidRPr="00C5679C">
        <w:rPr>
          <w:sz w:val="20"/>
        </w:rPr>
        <w:t>) because employees</w:t>
      </w:r>
      <w:r w:rsidR="00A0411D">
        <w:rPr>
          <w:sz w:val="20"/>
        </w:rPr>
        <w:t xml:space="preserve"> in that case</w:t>
      </w:r>
      <w:r w:rsidRPr="00C5679C">
        <w:rPr>
          <w:sz w:val="20"/>
        </w:rPr>
        <w:t xml:space="preserve"> went to the NLRB instead of filing a claim in federal court.</w:t>
      </w:r>
      <w:r w:rsidR="00B82583">
        <w:rPr>
          <w:sz w:val="20"/>
        </w:rPr>
        <w:t xml:space="preserve">  T</w:t>
      </w:r>
      <w:r w:rsidRPr="00C5679C">
        <w:rPr>
          <w:sz w:val="20"/>
        </w:rPr>
        <w:t xml:space="preserve">he employer </w:t>
      </w:r>
      <w:r w:rsidR="00B82583">
        <w:rPr>
          <w:sz w:val="20"/>
        </w:rPr>
        <w:t>then c</w:t>
      </w:r>
      <w:r w:rsidRPr="00C5679C">
        <w:rPr>
          <w:sz w:val="20"/>
        </w:rPr>
        <w:t xml:space="preserve">hallenged the decision of the NLRB in federal court.  </w:t>
      </w:r>
    </w:p>
  </w:footnote>
  <w:footnote w:id="9">
    <w:p w14:paraId="4DDB1438" w14:textId="7164BD4A" w:rsidR="00CC4485" w:rsidRPr="00C5679C" w:rsidRDefault="00CC4485" w:rsidP="00CC4485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="00990A37" w:rsidRPr="00C5679C">
        <w:rPr>
          <w:sz w:val="20"/>
        </w:rPr>
        <w:t xml:space="preserve"> 29 U.S.C. §§ 151</w:t>
      </w:r>
      <w:r w:rsidRPr="00C5679C">
        <w:rPr>
          <w:sz w:val="20"/>
        </w:rPr>
        <w:t>-1</w:t>
      </w:r>
      <w:r w:rsidR="00990A37" w:rsidRPr="00C5679C">
        <w:rPr>
          <w:sz w:val="20"/>
        </w:rPr>
        <w:t>69</w:t>
      </w:r>
      <w:r w:rsidRPr="00C5679C">
        <w:rPr>
          <w:sz w:val="20"/>
        </w:rPr>
        <w:t>.</w:t>
      </w:r>
    </w:p>
  </w:footnote>
  <w:footnote w:id="10">
    <w:p w14:paraId="5A84DC78" w14:textId="412ED312" w:rsidR="00CC4485" w:rsidRPr="00C5679C" w:rsidRDefault="00CC4485" w:rsidP="00CC4485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="0088135A" w:rsidRPr="00C5679C">
        <w:rPr>
          <w:sz w:val="20"/>
        </w:rPr>
        <w:t xml:space="preserve"> 9 U.S.C. §</w:t>
      </w:r>
      <w:r w:rsidR="009F38C9" w:rsidRPr="00C5679C">
        <w:rPr>
          <w:sz w:val="20"/>
        </w:rPr>
        <w:t>§</w:t>
      </w:r>
      <w:r w:rsidR="0088135A" w:rsidRPr="00C5679C">
        <w:rPr>
          <w:sz w:val="20"/>
        </w:rPr>
        <w:t xml:space="preserve"> 1</w:t>
      </w:r>
      <w:r w:rsidR="009F38C9">
        <w:rPr>
          <w:sz w:val="20"/>
        </w:rPr>
        <w:t>-16</w:t>
      </w:r>
      <w:r w:rsidRPr="00C5679C">
        <w:rPr>
          <w:sz w:val="20"/>
        </w:rPr>
        <w:t xml:space="preserve">. </w:t>
      </w:r>
    </w:p>
  </w:footnote>
  <w:footnote w:id="11">
    <w:p w14:paraId="5D1E1CB0" w14:textId="44CFE220" w:rsidR="00415FAF" w:rsidRPr="00C5679C" w:rsidRDefault="00415FAF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="00437534">
        <w:rPr>
          <w:sz w:val="20"/>
        </w:rPr>
        <w:t>Defendants are e</w:t>
      </w:r>
      <w:r w:rsidRPr="00C5679C">
        <w:rPr>
          <w:sz w:val="20"/>
        </w:rPr>
        <w:t xml:space="preserve">mployers requiring employees to enter into mandatory arbitration agreements containing class action waivers. </w:t>
      </w:r>
    </w:p>
  </w:footnote>
  <w:footnote w:id="12">
    <w:p w14:paraId="225DF364" w14:textId="2D442EFC" w:rsidR="00511067" w:rsidRPr="00C5679C" w:rsidRDefault="00511067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="0060618B" w:rsidRPr="00C5679C">
        <w:rPr>
          <w:sz w:val="20"/>
          <w:u w:val="single"/>
        </w:rPr>
        <w:t>Ernst and Young LLP v. Morris</w:t>
      </w:r>
      <w:r w:rsidR="0060618B" w:rsidRPr="00C5679C">
        <w:rPr>
          <w:sz w:val="20"/>
        </w:rPr>
        <w:t xml:space="preserve"> (No. 16-300) at</w:t>
      </w:r>
      <w:r w:rsidR="00A63612" w:rsidRPr="00C5679C">
        <w:rPr>
          <w:sz w:val="20"/>
        </w:rPr>
        <w:t xml:space="preserve"> 15-18; </w:t>
      </w:r>
      <w:r w:rsidR="00E17F07" w:rsidRPr="00C5679C">
        <w:rPr>
          <w:sz w:val="20"/>
          <w:u w:val="single"/>
        </w:rPr>
        <w:t>Epic Systems Corporation v. Lewis</w:t>
      </w:r>
      <w:r w:rsidR="00E17F07" w:rsidRPr="00C5679C">
        <w:rPr>
          <w:sz w:val="20"/>
        </w:rPr>
        <w:t xml:space="preserve"> (No. 16-285) at 15-18.</w:t>
      </w:r>
    </w:p>
  </w:footnote>
  <w:footnote w:id="13">
    <w:p w14:paraId="7785CFD4" w14:textId="08F2A130" w:rsidR="00DA3CD9" w:rsidRPr="00C5679C" w:rsidRDefault="00DA3CD9" w:rsidP="00DA3CD9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="00437534">
        <w:rPr>
          <w:sz w:val="20"/>
        </w:rPr>
        <w:t xml:space="preserve">However, </w:t>
      </w:r>
      <w:r w:rsidRPr="00C5679C">
        <w:rPr>
          <w:sz w:val="20"/>
        </w:rPr>
        <w:t xml:space="preserve">this issue has already been addressed by the Supreme Court in </w:t>
      </w:r>
      <w:r w:rsidRPr="00C5679C">
        <w:rPr>
          <w:sz w:val="20"/>
          <w:u w:val="single"/>
        </w:rPr>
        <w:t>Gilmer</w:t>
      </w:r>
      <w:r w:rsidRPr="00C5679C">
        <w:rPr>
          <w:sz w:val="20"/>
        </w:rPr>
        <w:t xml:space="preserve">, which held that mandatory arbitration agreements are legally enforceable. </w:t>
      </w:r>
    </w:p>
  </w:footnote>
  <w:footnote w:id="14">
    <w:p w14:paraId="21485978" w14:textId="4A65C2B4" w:rsidR="00A63612" w:rsidRPr="00C5679C" w:rsidRDefault="00A63612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="00DA3CD9" w:rsidRPr="00C5679C">
        <w:rPr>
          <w:sz w:val="20"/>
          <w:u w:val="single"/>
        </w:rPr>
        <w:t>Epic Systems</w:t>
      </w:r>
      <w:r w:rsidR="00DA3CD9" w:rsidRPr="00C5679C">
        <w:rPr>
          <w:sz w:val="20"/>
        </w:rPr>
        <w:t xml:space="preserve"> at 15-18. </w:t>
      </w:r>
      <w:r w:rsidR="00E17F07" w:rsidRPr="00C5679C">
        <w:rPr>
          <w:sz w:val="20"/>
        </w:rPr>
        <w:t xml:space="preserve"> </w:t>
      </w:r>
    </w:p>
  </w:footnote>
  <w:footnote w:id="15">
    <w:p w14:paraId="78F0BC0F" w14:textId="256ECAD6" w:rsidR="00B07BB2" w:rsidRPr="00C5679C" w:rsidRDefault="00B07BB2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="00C1702D" w:rsidRPr="00C5679C">
        <w:rPr>
          <w:sz w:val="20"/>
        </w:rPr>
        <w:t xml:space="preserve">“Friend of the court” briefs filed by interested non-parties, meant to influence the Court’s decision. </w:t>
      </w:r>
    </w:p>
  </w:footnote>
  <w:footnote w:id="16">
    <w:p w14:paraId="12A9A128" w14:textId="2AE1C588" w:rsidR="00030FE4" w:rsidRPr="00C5679C" w:rsidRDefault="00030FE4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 w:rsidRPr="00C5679C">
        <w:rPr>
          <w:sz w:val="20"/>
          <w:u w:val="single"/>
        </w:rPr>
        <w:t>NLRB v. Murphy Oil USA, Inc.</w:t>
      </w:r>
      <w:r w:rsidRPr="00C5679C">
        <w:rPr>
          <w:sz w:val="20"/>
        </w:rPr>
        <w:t xml:space="preserve"> (No. 16-307)</w:t>
      </w:r>
      <w:r w:rsidR="00ED6695" w:rsidRPr="00C5679C">
        <w:rPr>
          <w:sz w:val="20"/>
        </w:rPr>
        <w:t>.</w:t>
      </w:r>
    </w:p>
  </w:footnote>
  <w:footnote w:id="17">
    <w:p w14:paraId="4C79F2CA" w14:textId="164886FF" w:rsidR="00C5679C" w:rsidRPr="00C5679C" w:rsidRDefault="00C5679C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</w:t>
      </w:r>
      <w:r>
        <w:rPr>
          <w:sz w:val="20"/>
        </w:rPr>
        <w:t>Brief for the United States as Amicus Curiae Supporting Petitioners in Nos. 16-285 and 16-300 and Suppor</w:t>
      </w:r>
      <w:r w:rsidR="009A7B48">
        <w:rPr>
          <w:sz w:val="20"/>
        </w:rPr>
        <w:t xml:space="preserve">ting Respondents in No. 16-307, </w:t>
      </w:r>
      <w:r w:rsidR="009A7B48" w:rsidRPr="00C5679C">
        <w:rPr>
          <w:sz w:val="20"/>
          <w:u w:val="single"/>
        </w:rPr>
        <w:t>NLRB v. Murphy Oil USA, Inc.</w:t>
      </w:r>
      <w:r w:rsidR="009A7B48" w:rsidRPr="00C5679C">
        <w:rPr>
          <w:sz w:val="20"/>
        </w:rPr>
        <w:t xml:space="preserve"> (No. 16-307); </w:t>
      </w:r>
      <w:r w:rsidR="009A7B48" w:rsidRPr="00C5679C">
        <w:rPr>
          <w:sz w:val="20"/>
          <w:u w:val="single"/>
        </w:rPr>
        <w:t>Epic Systems Corporation v. Lewis</w:t>
      </w:r>
      <w:r w:rsidR="009A7B48" w:rsidRPr="00C5679C">
        <w:rPr>
          <w:sz w:val="20"/>
        </w:rPr>
        <w:t xml:space="preserve"> (No. 16-285); </w:t>
      </w:r>
      <w:r w:rsidR="009A7B48" w:rsidRPr="00C5679C">
        <w:rPr>
          <w:sz w:val="20"/>
          <w:u w:val="single"/>
        </w:rPr>
        <w:t>Ernst and Young LLP v. Morris</w:t>
      </w:r>
      <w:r w:rsidR="009A7B48" w:rsidRPr="00C5679C">
        <w:rPr>
          <w:sz w:val="20"/>
        </w:rPr>
        <w:t xml:space="preserve"> (No. 16-300)</w:t>
      </w:r>
      <w:r w:rsidR="009A7B48">
        <w:rPr>
          <w:sz w:val="20"/>
        </w:rPr>
        <w:t xml:space="preserve">. </w:t>
      </w:r>
    </w:p>
  </w:footnote>
  <w:footnote w:id="18">
    <w:p w14:paraId="6A9ECC6D" w14:textId="664EA181" w:rsidR="00C5679C" w:rsidRPr="00C5679C" w:rsidRDefault="00C5679C">
      <w:pPr>
        <w:pStyle w:val="FootnoteText"/>
        <w:rPr>
          <w:sz w:val="20"/>
        </w:rPr>
      </w:pPr>
      <w:r w:rsidRPr="00C5679C">
        <w:rPr>
          <w:rStyle w:val="FootnoteReference"/>
          <w:sz w:val="20"/>
        </w:rPr>
        <w:footnoteRef/>
      </w:r>
      <w:r w:rsidRPr="00C5679C">
        <w:rPr>
          <w:sz w:val="20"/>
        </w:rPr>
        <w:t xml:space="preserve"> Amy Howe, </w:t>
      </w:r>
      <w:r w:rsidRPr="000B3EB7">
        <w:rPr>
          <w:sz w:val="20"/>
          <w:u w:val="single"/>
        </w:rPr>
        <w:t>Argument Preview: Reconciling Class Waivers and the National Labor Relations Act (UPDATED)</w:t>
      </w:r>
      <w:r w:rsidRPr="00C5679C">
        <w:rPr>
          <w:sz w:val="20"/>
        </w:rPr>
        <w:t xml:space="preserve">, </w:t>
      </w:r>
      <w:proofErr w:type="spellStart"/>
      <w:r w:rsidRPr="00C5679C">
        <w:rPr>
          <w:sz w:val="20"/>
        </w:rPr>
        <w:t>SCOTUSblog</w:t>
      </w:r>
      <w:proofErr w:type="spellEnd"/>
      <w:r w:rsidRPr="00C5679C">
        <w:rPr>
          <w:sz w:val="20"/>
        </w:rPr>
        <w:t xml:space="preserve"> (Sep. 25, 2017, 10:56 AM), http://www.scotusblog.com/2017/09/argument-preview-reconciling-class-waivers-national-labor-relations-act/</w:t>
      </w:r>
      <w:r>
        <w:rPr>
          <w:sz w:val="2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F"/>
    <w:rsid w:val="000069FF"/>
    <w:rsid w:val="00026292"/>
    <w:rsid w:val="00030FE4"/>
    <w:rsid w:val="000509AE"/>
    <w:rsid w:val="00052C6A"/>
    <w:rsid w:val="000A1262"/>
    <w:rsid w:val="000B3EB7"/>
    <w:rsid w:val="000C5C1B"/>
    <w:rsid w:val="0011450A"/>
    <w:rsid w:val="00131988"/>
    <w:rsid w:val="00136882"/>
    <w:rsid w:val="00153FD3"/>
    <w:rsid w:val="00183251"/>
    <w:rsid w:val="00191F67"/>
    <w:rsid w:val="00192AC6"/>
    <w:rsid w:val="001A4110"/>
    <w:rsid w:val="001B157D"/>
    <w:rsid w:val="001B2965"/>
    <w:rsid w:val="001F029B"/>
    <w:rsid w:val="002048E4"/>
    <w:rsid w:val="00207AA9"/>
    <w:rsid w:val="00220C10"/>
    <w:rsid w:val="0025602A"/>
    <w:rsid w:val="00267302"/>
    <w:rsid w:val="002D1B20"/>
    <w:rsid w:val="002F147C"/>
    <w:rsid w:val="00307E57"/>
    <w:rsid w:val="00323793"/>
    <w:rsid w:val="00366FBD"/>
    <w:rsid w:val="00374A13"/>
    <w:rsid w:val="003B2230"/>
    <w:rsid w:val="003C3281"/>
    <w:rsid w:val="003E780D"/>
    <w:rsid w:val="00415FAF"/>
    <w:rsid w:val="0043371E"/>
    <w:rsid w:val="00437534"/>
    <w:rsid w:val="004910D2"/>
    <w:rsid w:val="004B1CCE"/>
    <w:rsid w:val="004E5444"/>
    <w:rsid w:val="00511067"/>
    <w:rsid w:val="0052567A"/>
    <w:rsid w:val="00545501"/>
    <w:rsid w:val="00564B05"/>
    <w:rsid w:val="005C600E"/>
    <w:rsid w:val="005E3F97"/>
    <w:rsid w:val="0060618B"/>
    <w:rsid w:val="00612F1A"/>
    <w:rsid w:val="0064454F"/>
    <w:rsid w:val="006724A9"/>
    <w:rsid w:val="00697ED5"/>
    <w:rsid w:val="006B4A14"/>
    <w:rsid w:val="006F2CC4"/>
    <w:rsid w:val="0070669F"/>
    <w:rsid w:val="007249EC"/>
    <w:rsid w:val="007277ED"/>
    <w:rsid w:val="00730932"/>
    <w:rsid w:val="007462C2"/>
    <w:rsid w:val="007536F4"/>
    <w:rsid w:val="007649D5"/>
    <w:rsid w:val="00767AE5"/>
    <w:rsid w:val="007C28E3"/>
    <w:rsid w:val="00836121"/>
    <w:rsid w:val="00873192"/>
    <w:rsid w:val="0088135A"/>
    <w:rsid w:val="008B0E29"/>
    <w:rsid w:val="008D2E0C"/>
    <w:rsid w:val="0091072E"/>
    <w:rsid w:val="009159AB"/>
    <w:rsid w:val="00983919"/>
    <w:rsid w:val="00990A37"/>
    <w:rsid w:val="00991F28"/>
    <w:rsid w:val="009A1045"/>
    <w:rsid w:val="009A7B48"/>
    <w:rsid w:val="009F38C9"/>
    <w:rsid w:val="00A00D7D"/>
    <w:rsid w:val="00A0411D"/>
    <w:rsid w:val="00A06B07"/>
    <w:rsid w:val="00A07AD9"/>
    <w:rsid w:val="00A15C9B"/>
    <w:rsid w:val="00A53FE8"/>
    <w:rsid w:val="00A63612"/>
    <w:rsid w:val="00A71ACE"/>
    <w:rsid w:val="00AB1169"/>
    <w:rsid w:val="00AB43EB"/>
    <w:rsid w:val="00AC39C1"/>
    <w:rsid w:val="00AD0F69"/>
    <w:rsid w:val="00AD436E"/>
    <w:rsid w:val="00AD7BC6"/>
    <w:rsid w:val="00AF38D7"/>
    <w:rsid w:val="00B075F7"/>
    <w:rsid w:val="00B07BB2"/>
    <w:rsid w:val="00B4099E"/>
    <w:rsid w:val="00B51898"/>
    <w:rsid w:val="00B82583"/>
    <w:rsid w:val="00B84599"/>
    <w:rsid w:val="00BC7F0D"/>
    <w:rsid w:val="00BF3379"/>
    <w:rsid w:val="00BF78F9"/>
    <w:rsid w:val="00C1702D"/>
    <w:rsid w:val="00C307EF"/>
    <w:rsid w:val="00C40267"/>
    <w:rsid w:val="00C5679C"/>
    <w:rsid w:val="00CC4485"/>
    <w:rsid w:val="00CC75C7"/>
    <w:rsid w:val="00CD0C8C"/>
    <w:rsid w:val="00D05C62"/>
    <w:rsid w:val="00D3437F"/>
    <w:rsid w:val="00D72188"/>
    <w:rsid w:val="00D7705E"/>
    <w:rsid w:val="00DA3CD9"/>
    <w:rsid w:val="00DD3566"/>
    <w:rsid w:val="00E17F07"/>
    <w:rsid w:val="00E22A8A"/>
    <w:rsid w:val="00E36118"/>
    <w:rsid w:val="00E44BC4"/>
    <w:rsid w:val="00E9196D"/>
    <w:rsid w:val="00EC1194"/>
    <w:rsid w:val="00ED247F"/>
    <w:rsid w:val="00ED6695"/>
    <w:rsid w:val="00EF0479"/>
    <w:rsid w:val="00F4480F"/>
    <w:rsid w:val="00F632D6"/>
    <w:rsid w:val="00F9028A"/>
    <w:rsid w:val="00F948F3"/>
    <w:rsid w:val="00FA0F0E"/>
    <w:rsid w:val="00FC5496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29C4"/>
  <w15:chartTrackingRefBased/>
  <w15:docId w15:val="{89C48106-0542-4540-8874-ABFF72E0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3437F"/>
    <w:rPr>
      <w:vertAlign w:val="superscript"/>
    </w:rPr>
  </w:style>
  <w:style w:type="paragraph" w:styleId="FootnoteText">
    <w:name w:val="footnote text"/>
    <w:basedOn w:val="Normal"/>
    <w:link w:val="FootnoteTextChar"/>
    <w:rsid w:val="00D3437F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437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34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4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2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2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67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19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96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19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4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EE25-B1AD-4153-AAF0-F107CEA2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</Pages>
  <Words>753</Words>
  <Characters>4331</Characters>
  <Application>Microsoft Office Word</Application>
  <DocSecurity>0</DocSecurity>
  <PresentationFormat>15|.DOCX</PresentationFormat>
  <Lines>167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Alert: Supreme Court to Address Mandatory Arb Agreements (01078001-8).DOCX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Alert: Supreme Court to Address Mandatory Arb Agreements (01078001-9).DOCX</dc:title>
  <dc:subject/>
  <dc:creator>Laudadio, Gregory T.</dc:creator>
  <cp:keywords/>
  <dc:description/>
  <cp:lastModifiedBy>Tsipras, Patricia B.</cp:lastModifiedBy>
  <cp:revision>96</cp:revision>
  <cp:lastPrinted>2017-10-17T19:58:00Z</cp:lastPrinted>
  <dcterms:created xsi:type="dcterms:W3CDTF">2017-10-03T13:48:00Z</dcterms:created>
  <dcterms:modified xsi:type="dcterms:W3CDTF">2017-10-20T21:03:00Z</dcterms:modified>
</cp:coreProperties>
</file>