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EF25D" w14:textId="77777777" w:rsidR="00D3437F" w:rsidRDefault="00D3437F" w:rsidP="00D3437F">
      <w:pPr>
        <w:jc w:val="center"/>
      </w:pPr>
      <w:r>
        <w:rPr>
          <w:noProof/>
        </w:rPr>
        <w:drawing>
          <wp:inline distT="0" distB="0" distL="0" distR="0" wp14:anchorId="2FD44296" wp14:editId="7D0B38AC">
            <wp:extent cx="25527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2700" cy="314325"/>
                    </a:xfrm>
                    <a:prstGeom prst="rect">
                      <a:avLst/>
                    </a:prstGeom>
                  </pic:spPr>
                </pic:pic>
              </a:graphicData>
            </a:graphic>
          </wp:inline>
        </w:drawing>
      </w:r>
    </w:p>
    <w:p w14:paraId="34C4D20C" w14:textId="77777777" w:rsidR="00D3437F" w:rsidRDefault="00D3437F" w:rsidP="00D3437F">
      <w:pPr>
        <w:jc w:val="center"/>
      </w:pPr>
    </w:p>
    <w:p w14:paraId="7DBADE49" w14:textId="77777777" w:rsidR="00D3437F" w:rsidRDefault="00D3437F" w:rsidP="00D3437F">
      <w:pPr>
        <w:jc w:val="center"/>
        <w:rPr>
          <w:b/>
        </w:rPr>
      </w:pPr>
      <w:r>
        <w:rPr>
          <w:b/>
        </w:rPr>
        <w:t>CLIENT ALERT</w:t>
      </w:r>
    </w:p>
    <w:p w14:paraId="04EEA51D" w14:textId="77777777" w:rsidR="00D3437F" w:rsidRDefault="00D3437F" w:rsidP="00D3437F">
      <w:pPr>
        <w:jc w:val="center"/>
        <w:rPr>
          <w:b/>
        </w:rPr>
      </w:pPr>
    </w:p>
    <w:p w14:paraId="5240F01F" w14:textId="4ED9976C" w:rsidR="00D3437F" w:rsidRDefault="00477A62" w:rsidP="00D3437F">
      <w:pPr>
        <w:jc w:val="center"/>
      </w:pPr>
      <w:r>
        <w:t>November</w:t>
      </w:r>
      <w:r w:rsidR="00D3437F">
        <w:t xml:space="preserve"> 2017</w:t>
      </w:r>
    </w:p>
    <w:p w14:paraId="2048C402" w14:textId="77777777" w:rsidR="00D3437F" w:rsidRDefault="00D3437F" w:rsidP="00D3437F">
      <w:pPr>
        <w:jc w:val="center"/>
      </w:pPr>
    </w:p>
    <w:p w14:paraId="2294460A" w14:textId="20A54888" w:rsidR="00D3437F" w:rsidRDefault="00A90C72" w:rsidP="00D3437F">
      <w:pPr>
        <w:jc w:val="center"/>
        <w:rPr>
          <w:b/>
          <w:caps/>
        </w:rPr>
      </w:pPr>
      <w:r>
        <w:rPr>
          <w:b/>
          <w:caps/>
        </w:rPr>
        <w:t>Blowing the whistle on Whistleblower protection</w:t>
      </w:r>
      <w:r w:rsidR="00D3437F">
        <w:rPr>
          <w:b/>
          <w:caps/>
        </w:rPr>
        <w:t>:</w:t>
      </w:r>
    </w:p>
    <w:p w14:paraId="2D4FA1C9" w14:textId="2563DA26" w:rsidR="00D3437F" w:rsidRPr="005C2844" w:rsidRDefault="0070669F" w:rsidP="00D3437F">
      <w:pPr>
        <w:jc w:val="center"/>
        <w:rPr>
          <w:rFonts w:ascii="Times New Roman Bold" w:hAnsi="Times New Roman Bold"/>
          <w:b/>
        </w:rPr>
      </w:pPr>
      <w:r>
        <w:rPr>
          <w:rFonts w:ascii="Times New Roman Bold" w:hAnsi="Times New Roman Bold"/>
          <w:b/>
        </w:rPr>
        <w:t xml:space="preserve">Supreme Court to Review </w:t>
      </w:r>
      <w:r w:rsidR="003776AE">
        <w:rPr>
          <w:rFonts w:ascii="Times New Roman Bold" w:hAnsi="Times New Roman Bold"/>
          <w:b/>
        </w:rPr>
        <w:t xml:space="preserve">Scope of </w:t>
      </w:r>
      <w:r w:rsidR="00477A62">
        <w:rPr>
          <w:rFonts w:ascii="Times New Roman Bold" w:hAnsi="Times New Roman Bold"/>
          <w:b/>
        </w:rPr>
        <w:t xml:space="preserve">Whistleblower Protection </w:t>
      </w:r>
      <w:r w:rsidR="00456D1C">
        <w:rPr>
          <w:rFonts w:ascii="Times New Roman Bold" w:hAnsi="Times New Roman Bold"/>
          <w:b/>
        </w:rPr>
        <w:t>U</w:t>
      </w:r>
      <w:r w:rsidR="003776AE">
        <w:rPr>
          <w:rFonts w:ascii="Times New Roman Bold" w:hAnsi="Times New Roman Bold"/>
          <w:b/>
        </w:rPr>
        <w:t>nder</w:t>
      </w:r>
      <w:r w:rsidR="00477A62">
        <w:rPr>
          <w:rFonts w:ascii="Times New Roman Bold" w:hAnsi="Times New Roman Bold"/>
          <w:b/>
        </w:rPr>
        <w:t xml:space="preserve"> Dodd-Frank Act</w:t>
      </w:r>
      <w:r w:rsidR="00026292">
        <w:rPr>
          <w:rFonts w:ascii="Times New Roman Bold" w:hAnsi="Times New Roman Bold"/>
          <w:b/>
        </w:rPr>
        <w:t xml:space="preserve"> </w:t>
      </w:r>
    </w:p>
    <w:p w14:paraId="62FE5FAE" w14:textId="77777777" w:rsidR="00D3437F" w:rsidRDefault="00D3437F" w:rsidP="00D3437F">
      <w:pPr>
        <w:jc w:val="center"/>
      </w:pPr>
    </w:p>
    <w:p w14:paraId="53A970E0" w14:textId="450AE58F" w:rsidR="00D3437F" w:rsidRDefault="00D3437F" w:rsidP="00D3437F">
      <w:pPr>
        <w:jc w:val="center"/>
        <w:rPr>
          <w:b/>
        </w:rPr>
      </w:pPr>
      <w:r>
        <w:rPr>
          <w:b/>
        </w:rPr>
        <w:t>Gregory T. Laudadio</w:t>
      </w:r>
      <w:r w:rsidR="001017F2">
        <w:rPr>
          <w:b/>
        </w:rPr>
        <w:t>, Esq.</w:t>
      </w:r>
    </w:p>
    <w:p w14:paraId="265C12F9" w14:textId="77777777" w:rsidR="00D3437F" w:rsidRDefault="00D3437F" w:rsidP="00D3437F">
      <w:pPr>
        <w:jc w:val="center"/>
        <w:rPr>
          <w:b/>
        </w:rPr>
      </w:pPr>
    </w:p>
    <w:p w14:paraId="3550ACE1" w14:textId="77777777" w:rsidR="00D3437F" w:rsidRPr="00FB4565" w:rsidRDefault="00D3437F" w:rsidP="00D3437F">
      <w:pPr>
        <w:jc w:val="center"/>
        <w:rPr>
          <w:b/>
        </w:rPr>
        <w:sectPr w:rsidR="00D3437F" w:rsidRPr="00FB4565">
          <w:footerReference w:type="default" r:id="rId8"/>
          <w:pgSz w:w="12240" w:h="15840"/>
          <w:pgMar w:top="1440" w:right="1440" w:bottom="1440" w:left="1440" w:header="720" w:footer="720" w:gutter="0"/>
          <w:cols w:space="720"/>
          <w:docGrid w:linePitch="360"/>
        </w:sectPr>
      </w:pPr>
    </w:p>
    <w:p w14:paraId="2EA699BF" w14:textId="0B92DD7C" w:rsidR="00B32FFE" w:rsidRDefault="00642209" w:rsidP="00D3437F">
      <w:r>
        <w:t>On November 28, the United States Supreme Court will hear oral argument to determine</w:t>
      </w:r>
      <w:r w:rsidR="00B32FFE">
        <w:t xml:space="preserve"> whether federal law protects whistleblowers who report securities violations internally to their employers</w:t>
      </w:r>
      <w:r w:rsidR="00C9672F">
        <w:t xml:space="preserve"> </w:t>
      </w:r>
      <w:r w:rsidR="008E23FB">
        <w:t>without</w:t>
      </w:r>
      <w:r w:rsidR="00C9672F">
        <w:t xml:space="preserve"> making </w:t>
      </w:r>
      <w:r w:rsidR="00276435">
        <w:t>a</w:t>
      </w:r>
      <w:r w:rsidR="00C9672F">
        <w:t xml:space="preserve"> report </w:t>
      </w:r>
      <w:r w:rsidR="00B32FFE">
        <w:t>directly to the U</w:t>
      </w:r>
      <w:r w:rsidR="00ED3DB5">
        <w:t>nited States</w:t>
      </w:r>
      <w:r w:rsidR="00B32FFE">
        <w:t xml:space="preserve"> Securities and Exchange Commission (“SEC”).  </w:t>
      </w:r>
    </w:p>
    <w:p w14:paraId="1D66AFD9" w14:textId="77777777" w:rsidR="00642209" w:rsidRDefault="00642209" w:rsidP="00D3437F"/>
    <w:p w14:paraId="5E992E39" w14:textId="67850DFF" w:rsidR="0063359D" w:rsidRDefault="006E3B68" w:rsidP="00D3437F">
      <w:r>
        <w:t xml:space="preserve">In response to the 2008 economic crisis, </w:t>
      </w:r>
      <w:r w:rsidR="00B32FFE">
        <w:t xml:space="preserve">Congress enacted </w:t>
      </w:r>
      <w:r>
        <w:t>the Dodd-Frank Wall Street Reform and Consumer Protection Act</w:t>
      </w:r>
      <w:r w:rsidR="003660C6">
        <w:rPr>
          <w:rStyle w:val="FootnoteReference"/>
        </w:rPr>
        <w:footnoteReference w:id="1"/>
      </w:r>
      <w:r>
        <w:t xml:space="preserve"> </w:t>
      </w:r>
      <w:r w:rsidR="00B32FFE">
        <w:t>(“DFA”</w:t>
      </w:r>
      <w:r w:rsidR="00C9672F">
        <w:t>)</w:t>
      </w:r>
      <w:r>
        <w:t xml:space="preserve"> to ensure </w:t>
      </w:r>
      <w:r w:rsidR="003660C6">
        <w:t xml:space="preserve">the </w:t>
      </w:r>
      <w:r>
        <w:t xml:space="preserve">stability of </w:t>
      </w:r>
      <w:r w:rsidR="000453E1">
        <w:t>the financial industry and to provide increased consumer protection</w:t>
      </w:r>
      <w:r w:rsidR="00E50C76">
        <w:t>.</w:t>
      </w:r>
      <w:r w:rsidR="000453E1">
        <w:t xml:space="preserve">  </w:t>
      </w:r>
      <w:r w:rsidR="00C9672F">
        <w:t xml:space="preserve">Part of the DFA provides </w:t>
      </w:r>
      <w:r w:rsidR="00C97079">
        <w:t xml:space="preserve">incentives and protections for employees who </w:t>
      </w:r>
      <w:r w:rsidR="0063359D">
        <w:t>report their employers to the SEC for potential securities violations.</w:t>
      </w:r>
      <w:r w:rsidR="00E117D5">
        <w:rPr>
          <w:rStyle w:val="FootnoteReference"/>
        </w:rPr>
        <w:footnoteReference w:id="2"/>
      </w:r>
      <w:r w:rsidR="0063359D">
        <w:t xml:space="preserve"> </w:t>
      </w:r>
    </w:p>
    <w:p w14:paraId="074E5B16" w14:textId="1784C813" w:rsidR="00C97079" w:rsidRDefault="00C97079" w:rsidP="00D3437F"/>
    <w:p w14:paraId="689D1010" w14:textId="222FD8B9" w:rsidR="000453E1" w:rsidRDefault="00C97079" w:rsidP="00D3437F">
      <w:r>
        <w:t xml:space="preserve">Of particular </w:t>
      </w:r>
      <w:r w:rsidR="00B07E4E">
        <w:t>importance</w:t>
      </w:r>
      <w:r>
        <w:t xml:space="preserve"> </w:t>
      </w:r>
      <w:r w:rsidR="0063359D">
        <w:t>is</w:t>
      </w:r>
      <w:r>
        <w:t xml:space="preserve"> the DFA’s </w:t>
      </w:r>
      <w:r w:rsidR="00B07E4E">
        <w:t>anti-retaliation</w:t>
      </w:r>
      <w:r w:rsidR="009A53AF">
        <w:t xml:space="preserve"> provision</w:t>
      </w:r>
      <w:r>
        <w:t xml:space="preserve">, which </w:t>
      </w:r>
      <w:r w:rsidR="0063359D">
        <w:t>prohibits</w:t>
      </w:r>
      <w:r>
        <w:t xml:space="preserve"> employers from taking adverse employment action against employees who</w:t>
      </w:r>
      <w:r w:rsidR="0063359D">
        <w:t xml:space="preserve"> make reports</w:t>
      </w:r>
      <w:r>
        <w:t xml:space="preserve"> </w:t>
      </w:r>
      <w:r w:rsidR="0063359D">
        <w:t xml:space="preserve">to </w:t>
      </w:r>
      <w:r>
        <w:t>the SEC.</w:t>
      </w:r>
      <w:r w:rsidR="00D33A6B">
        <w:rPr>
          <w:rStyle w:val="FootnoteReference"/>
        </w:rPr>
        <w:footnoteReference w:id="3"/>
      </w:r>
      <w:r>
        <w:t xml:space="preserve">  </w:t>
      </w:r>
      <w:r w:rsidR="0063359D">
        <w:t>T</w:t>
      </w:r>
      <w:r>
        <w:t xml:space="preserve">he DFA is silent on whether </w:t>
      </w:r>
      <w:r>
        <w:t>this protection extends to employees who opt to report violations internally</w:t>
      </w:r>
      <w:r w:rsidR="0063359D">
        <w:t xml:space="preserve"> </w:t>
      </w:r>
      <w:r>
        <w:t>without</w:t>
      </w:r>
      <w:r w:rsidR="001D53C0">
        <w:t xml:space="preserve"> also</w:t>
      </w:r>
      <w:r>
        <w:t xml:space="preserve"> going to the SEC.</w:t>
      </w:r>
      <w:r w:rsidR="001D1AD0">
        <w:t xml:space="preserve">  T</w:t>
      </w:r>
      <w:r w:rsidR="00294171">
        <w:t>he DFA</w:t>
      </w:r>
      <w:r w:rsidR="009A53AF">
        <w:t xml:space="preserve"> define</w:t>
      </w:r>
      <w:r w:rsidR="00294171">
        <w:t>s</w:t>
      </w:r>
      <w:r w:rsidR="009A53AF">
        <w:t xml:space="preserve"> “whistleblowers” only as persons who provide information “to the Commission.”</w:t>
      </w:r>
      <w:r w:rsidR="00294171">
        <w:rPr>
          <w:rStyle w:val="FootnoteReference"/>
        </w:rPr>
        <w:footnoteReference w:id="4"/>
      </w:r>
      <w:r>
        <w:t xml:space="preserve">  </w:t>
      </w:r>
      <w:r w:rsidR="00C9672F">
        <w:t xml:space="preserve">This </w:t>
      </w:r>
      <w:r w:rsidR="00ED7418">
        <w:t xml:space="preserve">apparent restriction </w:t>
      </w:r>
      <w:r w:rsidR="0063359D">
        <w:t xml:space="preserve">has divided the </w:t>
      </w:r>
      <w:r w:rsidR="00ED3DB5">
        <w:t xml:space="preserve">United States </w:t>
      </w:r>
      <w:r w:rsidR="0063359D">
        <w:t>Circuit Courts</w:t>
      </w:r>
      <w:r w:rsidR="00ED3DB5">
        <w:t xml:space="preserve"> of Appeal,</w:t>
      </w:r>
      <w:r w:rsidR="009B46A0">
        <w:rPr>
          <w:rStyle w:val="FootnoteReference"/>
        </w:rPr>
        <w:footnoteReference w:id="5"/>
      </w:r>
      <w:r w:rsidR="0063359D">
        <w:t xml:space="preserve"> but </w:t>
      </w:r>
      <w:r w:rsidR="00EE4552">
        <w:t>will</w:t>
      </w:r>
      <w:r w:rsidR="0063359D">
        <w:t xml:space="preserve"> now be addressed by</w:t>
      </w:r>
      <w:r>
        <w:t xml:space="preserve"> the Supreme Court</w:t>
      </w:r>
      <w:r w:rsidR="00EE4552">
        <w:t xml:space="preserve"> in </w:t>
      </w:r>
      <w:r w:rsidR="00EE4552" w:rsidRPr="00EE4552">
        <w:rPr>
          <w:u w:val="single"/>
        </w:rPr>
        <w:t>Digital Realty Trust, Inc. v. Somers</w:t>
      </w:r>
      <w:r w:rsidR="00EE4552">
        <w:t>, (No. 16-1276)</w:t>
      </w:r>
      <w:r w:rsidR="0063359D">
        <w:t xml:space="preserve">. </w:t>
      </w:r>
    </w:p>
    <w:p w14:paraId="3DDA4C6E" w14:textId="77777777" w:rsidR="000453E1" w:rsidRDefault="000453E1" w:rsidP="00D3437F"/>
    <w:p w14:paraId="517805CA" w14:textId="75B4E018" w:rsidR="00E50C76" w:rsidRDefault="00D33A6B" w:rsidP="00D3437F">
      <w:r>
        <w:t xml:space="preserve">Paul Somers was an employee of Digital Realty Trust, Inc. (“Digital Realty”) from 2010 to 2014, working as a Vice President of </w:t>
      </w:r>
      <w:r w:rsidR="009F702A">
        <w:t>Portfolio</w:t>
      </w:r>
      <w:r>
        <w:t xml:space="preserve"> Management in</w:t>
      </w:r>
      <w:r w:rsidR="009F702A">
        <w:t xml:space="preserve"> both</w:t>
      </w:r>
      <w:r>
        <w:t xml:space="preserve"> Europe and Singapore.</w:t>
      </w:r>
      <w:r w:rsidR="009F702A">
        <w:t xml:space="preserve">  Before his termination i</w:t>
      </w:r>
      <w:r w:rsidR="00B07E4E">
        <w:t>n 2014, Somers reported his</w:t>
      </w:r>
      <w:r w:rsidR="00A50BB3">
        <w:t xml:space="preserve"> Singapore</w:t>
      </w:r>
      <w:r w:rsidR="00B07E4E">
        <w:t xml:space="preserve"> boss</w:t>
      </w:r>
      <w:r w:rsidR="009F702A">
        <w:t xml:space="preserve"> to senior management</w:t>
      </w:r>
      <w:r w:rsidR="000736A2">
        <w:t>, but not the SEC,</w:t>
      </w:r>
      <w:r w:rsidR="009F702A">
        <w:t xml:space="preserve"> for potential violations of the Sarbanes-Oxley Act</w:t>
      </w:r>
      <w:r w:rsidR="00A50BB3">
        <w:t xml:space="preserve"> (“SO</w:t>
      </w:r>
      <w:r w:rsidR="00ED3DB5">
        <w:t>X</w:t>
      </w:r>
      <w:r w:rsidR="00A50BB3">
        <w:t>”).</w:t>
      </w:r>
      <w:r w:rsidR="00C532ED">
        <w:rPr>
          <w:rStyle w:val="FootnoteReference"/>
        </w:rPr>
        <w:footnoteReference w:id="6"/>
      </w:r>
      <w:r w:rsidR="00A50BB3">
        <w:t xml:space="preserve">  Somers had accused his boss of “eliminat[ing] internal controls over certain corporate actions,” and other violations of SO</w:t>
      </w:r>
      <w:r w:rsidR="00ED3DB5">
        <w:t>X</w:t>
      </w:r>
      <w:r w:rsidR="00A50BB3">
        <w:t xml:space="preserve">, including “hiding seven million dollars in cost overruns on a </w:t>
      </w:r>
      <w:r w:rsidR="00A50BB3">
        <w:lastRenderedPageBreak/>
        <w:t>development in Hong Kong.”</w:t>
      </w:r>
      <w:r w:rsidR="00CE07B7">
        <w:rPr>
          <w:rStyle w:val="FootnoteReference"/>
        </w:rPr>
        <w:footnoteReference w:id="7"/>
      </w:r>
      <w:r w:rsidR="00CE07B7">
        <w:t xml:space="preserve">  </w:t>
      </w:r>
      <w:r w:rsidR="0060710E">
        <w:t xml:space="preserve">After being terminated, </w:t>
      </w:r>
      <w:r w:rsidR="00CE07B7">
        <w:t>Somers brought a claim against Digital Realty</w:t>
      </w:r>
      <w:r w:rsidR="00FC5A37">
        <w:t xml:space="preserve"> in federal court</w:t>
      </w:r>
      <w:r w:rsidR="00CE07B7">
        <w:t xml:space="preserve"> for violating the anti-retaliation provision</w:t>
      </w:r>
      <w:r w:rsidR="0060710E">
        <w:t>s</w:t>
      </w:r>
      <w:r w:rsidR="00CE07B7">
        <w:t xml:space="preserve"> of the </w:t>
      </w:r>
      <w:r w:rsidR="0060710E">
        <w:t>DFA</w:t>
      </w:r>
      <w:r w:rsidR="00CE07B7">
        <w:t>,</w:t>
      </w:r>
      <w:r w:rsidR="004102DF">
        <w:rPr>
          <w:rStyle w:val="FootnoteReference"/>
        </w:rPr>
        <w:footnoteReference w:id="8"/>
      </w:r>
      <w:r w:rsidR="00A76A7C">
        <w:t xml:space="preserve"> which states</w:t>
      </w:r>
      <w:r w:rsidR="00ED3DB5">
        <w:t>,</w:t>
      </w:r>
      <w:r w:rsidR="00A76A7C">
        <w:t xml:space="preserve"> in part</w:t>
      </w:r>
      <w:r w:rsidR="00ED3DB5">
        <w:t>,</w:t>
      </w:r>
      <w:r w:rsidR="00A76A7C">
        <w:t xml:space="preserve"> that employers may not take adverse employment action against employee</w:t>
      </w:r>
      <w:r w:rsidR="000736A2">
        <w:t>s</w:t>
      </w:r>
      <w:r w:rsidR="00A76A7C">
        <w:t xml:space="preserve"> who </w:t>
      </w:r>
      <w:r w:rsidR="000736A2">
        <w:t>make</w:t>
      </w:r>
      <w:r w:rsidR="00A76A7C">
        <w:t xml:space="preserve"> “disclosures that are required or protected under the Sarbanes-Oxley Act.”</w:t>
      </w:r>
      <w:r w:rsidR="00AD5A46">
        <w:rPr>
          <w:rStyle w:val="FootnoteReference"/>
        </w:rPr>
        <w:footnoteReference w:id="9"/>
      </w:r>
      <w:r w:rsidR="00CE07B7">
        <w:t xml:space="preserve"> </w:t>
      </w:r>
    </w:p>
    <w:p w14:paraId="4CC466C1" w14:textId="25A6E21E" w:rsidR="0086618E" w:rsidRDefault="0086618E" w:rsidP="00D3437F"/>
    <w:p w14:paraId="458D917C" w14:textId="21923C49" w:rsidR="00E71DC5" w:rsidRDefault="003467AA" w:rsidP="00D3437F">
      <w:r>
        <w:t xml:space="preserve">At </w:t>
      </w:r>
      <w:r w:rsidR="00FC5A37">
        <w:t xml:space="preserve">the </w:t>
      </w:r>
      <w:r w:rsidR="004102DF">
        <w:t xml:space="preserve">trial court </w:t>
      </w:r>
      <w:r w:rsidR="00FC5A37">
        <w:t>level</w:t>
      </w:r>
      <w:r>
        <w:t xml:space="preserve">, the focus of both parties’ arguments was whether Somers qualified as a “whistleblower” under the DFA.  Somers claimed that he was </w:t>
      </w:r>
      <w:r w:rsidR="00E71DC5">
        <w:t>wrongfully terminated</w:t>
      </w:r>
      <w:r>
        <w:t xml:space="preserve"> in retaliation for internally reporting his boss’s alleged violations of SO</w:t>
      </w:r>
      <w:r w:rsidR="004102DF">
        <w:t>X</w:t>
      </w:r>
      <w:r w:rsidR="00C62D3D">
        <w:t xml:space="preserve"> and that the DFA’s anti-retaliation provision provided him </w:t>
      </w:r>
      <w:r w:rsidR="00E71DC5">
        <w:t>recourse</w:t>
      </w:r>
      <w:r>
        <w:t>.  Digital Realty moved to dismiss Somers’</w:t>
      </w:r>
      <w:r w:rsidR="004102DF">
        <w:t>s</w:t>
      </w:r>
      <w:r w:rsidR="00E71DC5">
        <w:t xml:space="preserve"> claim, arguing that Somers </w:t>
      </w:r>
      <w:r w:rsidR="00556A4C">
        <w:t>had no standing to sue under the DFA because he</w:t>
      </w:r>
      <w:r w:rsidR="002A7365">
        <w:t xml:space="preserve"> never reported his allegations to the SEC and therefore</w:t>
      </w:r>
      <w:r w:rsidR="00556A4C">
        <w:t xml:space="preserve"> </w:t>
      </w:r>
      <w:r w:rsidR="00E71DC5">
        <w:t>did not qualify as a “whistleblower</w:t>
      </w:r>
      <w:r w:rsidR="002A7365">
        <w:t>.</w:t>
      </w:r>
      <w:r w:rsidR="00E71DC5">
        <w:t xml:space="preserve">” </w:t>
      </w:r>
    </w:p>
    <w:p w14:paraId="6E3BAF7B" w14:textId="77777777" w:rsidR="00E71DC5" w:rsidRDefault="00E71DC5" w:rsidP="00D3437F"/>
    <w:p w14:paraId="3C5F8732" w14:textId="062777D4" w:rsidR="008F1C13" w:rsidRDefault="00E71DC5" w:rsidP="00D3437F">
      <w:r>
        <w:t>The District Court for the Norther</w:t>
      </w:r>
      <w:r w:rsidR="003A2A3E">
        <w:t>n</w:t>
      </w:r>
      <w:r>
        <w:t xml:space="preserve"> District of California ruled in favor of Somers, deferring to a</w:t>
      </w:r>
      <w:r w:rsidR="0057517F">
        <w:t>n SEC r</w:t>
      </w:r>
      <w:r>
        <w:t>ule</w:t>
      </w:r>
      <w:r w:rsidR="003A2A3E">
        <w:rPr>
          <w:rStyle w:val="FootnoteReference"/>
        </w:rPr>
        <w:footnoteReference w:id="10"/>
      </w:r>
      <w:r w:rsidR="003A2A3E">
        <w:t xml:space="preserve"> </w:t>
      </w:r>
      <w:r>
        <w:t>interpreting the DF</w:t>
      </w:r>
      <w:r w:rsidR="007100B9">
        <w:t>A</w:t>
      </w:r>
      <w:r>
        <w:t xml:space="preserve">’s anti-retaliation </w:t>
      </w:r>
      <w:r w:rsidR="007100B9">
        <w:t>provision</w:t>
      </w:r>
      <w:r>
        <w:t xml:space="preserve"> to</w:t>
      </w:r>
      <w:r w:rsidR="007100B9">
        <w:t xml:space="preserve"> include</w:t>
      </w:r>
      <w:r w:rsidR="002A7365">
        <w:t xml:space="preserve"> protections for</w:t>
      </w:r>
      <w:r w:rsidR="007100B9">
        <w:t xml:space="preserve"> whistleblowers who report</w:t>
      </w:r>
      <w:r w:rsidR="004102DF">
        <w:t xml:space="preserve"> only</w:t>
      </w:r>
      <w:r w:rsidR="007100B9">
        <w:t xml:space="preserve"> internally.</w:t>
      </w:r>
      <w:r w:rsidR="003A2A3E">
        <w:t xml:space="preserve">  The SEC </w:t>
      </w:r>
      <w:r w:rsidR="0057517F">
        <w:t>r</w:t>
      </w:r>
      <w:r w:rsidR="003A2A3E">
        <w:t>ule</w:t>
      </w:r>
      <w:r w:rsidR="00321884">
        <w:t xml:space="preserve"> and its corresponding commentary</w:t>
      </w:r>
      <w:r w:rsidR="003A2A3E">
        <w:t>, promulgated in 2011,</w:t>
      </w:r>
      <w:r w:rsidR="00321884">
        <w:t xml:space="preserve"> provide</w:t>
      </w:r>
      <w:r w:rsidR="003A2A3E">
        <w:t xml:space="preserve"> clarity on “whistleblower” qualification under the DFA by analyzing the interplay between the DFA and SO</w:t>
      </w:r>
      <w:r w:rsidR="00ED3DB5">
        <w:t>X</w:t>
      </w:r>
      <w:r w:rsidR="003A2A3E">
        <w:t>.  The rule</w:t>
      </w:r>
      <w:r w:rsidR="00321884">
        <w:t>’s commentary</w:t>
      </w:r>
      <w:r w:rsidR="003A2A3E">
        <w:t xml:space="preserve"> </w:t>
      </w:r>
      <w:r w:rsidR="007100B9">
        <w:t>states that</w:t>
      </w:r>
      <w:r w:rsidR="008E23FB">
        <w:t xml:space="preserve"> an individual qualifies</w:t>
      </w:r>
      <w:r w:rsidR="007100B9">
        <w:t xml:space="preserve"> as a whistleblower for the purpose of the DFA’s anti-retaliation </w:t>
      </w:r>
      <w:r w:rsidR="00D753E2">
        <w:t>protection</w:t>
      </w:r>
      <w:r w:rsidR="007100B9">
        <w:t>,</w:t>
      </w:r>
      <w:r w:rsidR="0057517F">
        <w:t xml:space="preserve"> regardless of how the DFA </w:t>
      </w:r>
      <w:r w:rsidR="002A7365">
        <w:t xml:space="preserve">itself </w:t>
      </w:r>
      <w:r w:rsidR="0057517F">
        <w:t>defines “whistleblower,”</w:t>
      </w:r>
      <w:r w:rsidR="007100B9">
        <w:t xml:space="preserve"> if the individual makes a report in accordance with the DFA’s </w:t>
      </w:r>
      <w:r w:rsidR="0057517F">
        <w:t xml:space="preserve">anti-retaliation </w:t>
      </w:r>
      <w:r w:rsidR="007100B9">
        <w:t xml:space="preserve">provision.  </w:t>
      </w:r>
      <w:r w:rsidR="004102DF">
        <w:t>Because</w:t>
      </w:r>
      <w:r w:rsidR="00D753E2">
        <w:t xml:space="preserve"> t</w:t>
      </w:r>
      <w:r w:rsidR="007100B9">
        <w:t>he provision</w:t>
      </w:r>
      <w:r w:rsidR="006875A9">
        <w:t xml:space="preserve"> explicitly</w:t>
      </w:r>
      <w:r w:rsidR="007100B9">
        <w:t xml:space="preserve"> </w:t>
      </w:r>
      <w:r w:rsidR="003A2A3E">
        <w:t>affords protection to individuals wh</w:t>
      </w:r>
      <w:r w:rsidR="00D753E2">
        <w:t>o report violations of SO</w:t>
      </w:r>
      <w:r w:rsidR="00ED3DB5">
        <w:t>X</w:t>
      </w:r>
      <w:r w:rsidR="00D753E2">
        <w:t>, and SO</w:t>
      </w:r>
      <w:r w:rsidR="00ED3DB5">
        <w:t>X</w:t>
      </w:r>
      <w:r w:rsidR="00D753E2">
        <w:t xml:space="preserve"> provides protection to employees who make reports </w:t>
      </w:r>
      <w:r w:rsidR="00ED3DB5">
        <w:t xml:space="preserve">only </w:t>
      </w:r>
      <w:r w:rsidR="00D753E2">
        <w:t xml:space="preserve">internally, the DFA must also provide whistleblower protection for internal </w:t>
      </w:r>
      <w:r w:rsidR="008E23FB">
        <w:t>whistleblowers</w:t>
      </w:r>
      <w:r w:rsidR="00321884">
        <w:t>.</w:t>
      </w:r>
      <w:r w:rsidR="008F1C13">
        <w:t xml:space="preserve">  As such, </w:t>
      </w:r>
      <w:r w:rsidR="00556A4C">
        <w:t xml:space="preserve">the District Court ruled that </w:t>
      </w:r>
      <w:r w:rsidR="008F1C13">
        <w:t>Somers had standing to bring a wrongful termination claim under the DFA.</w:t>
      </w:r>
    </w:p>
    <w:p w14:paraId="1C4CB920" w14:textId="77777777" w:rsidR="008F1C13" w:rsidRDefault="008F1C13" w:rsidP="00D3437F"/>
    <w:p w14:paraId="26BEB922" w14:textId="21580B8F" w:rsidR="008F1C13" w:rsidRDefault="008F1C13" w:rsidP="00D3437F">
      <w:r>
        <w:t>Digital Realty appealed the District Court’s decision, arguing that the District Court erred in deferring to the SEC’s rule, which it</w:t>
      </w:r>
      <w:r w:rsidR="00556A4C">
        <w:t xml:space="preserve"> alleged was </w:t>
      </w:r>
      <w:r>
        <w:t xml:space="preserve">misguided.  </w:t>
      </w:r>
      <w:r w:rsidR="00B738CE">
        <w:t xml:space="preserve">The </w:t>
      </w:r>
      <w:r w:rsidR="00556A4C">
        <w:t xml:space="preserve">United States </w:t>
      </w:r>
      <w:r w:rsidR="00B738CE">
        <w:t>Court of Appeals for the Ninth Circuit affirmed the District Court’s decision</w:t>
      </w:r>
      <w:r w:rsidR="00ED3DB5">
        <w:t>, however</w:t>
      </w:r>
      <w:r w:rsidR="00B738CE">
        <w:t>, stating that the SEC rule is “consistent with Congress’s overall purpose to protect those who report violations internally as well as those who report to the government,” and that Congress’s intent is “reflected in the language of the specific statutory subdivision [of the DFA], which explicitly references internal reporting provisions of Sarbanes-Oxley and the Securities Exchange Act of 1934.”</w:t>
      </w:r>
      <w:r w:rsidR="00192ABF">
        <w:rPr>
          <w:rStyle w:val="FootnoteReference"/>
        </w:rPr>
        <w:footnoteReference w:id="11"/>
      </w:r>
      <w:r w:rsidR="00B738CE">
        <w:t xml:space="preserve">  </w:t>
      </w:r>
    </w:p>
    <w:p w14:paraId="5BD6749A" w14:textId="4D441588" w:rsidR="008F1C13" w:rsidRDefault="008F1C13" w:rsidP="00D3437F"/>
    <w:p w14:paraId="47FAD73A" w14:textId="25936BFB" w:rsidR="008F1C13" w:rsidRDefault="0067751A" w:rsidP="00D3437F">
      <w:r>
        <w:t xml:space="preserve">The Supreme Court granted </w:t>
      </w:r>
      <w:r w:rsidR="00ED3DB5">
        <w:t>certiorari</w:t>
      </w:r>
      <w:r>
        <w:t xml:space="preserve"> to Digital Realty and will hear the case in a few weeks, though the scale tips heavily in Somers’</w:t>
      </w:r>
      <w:r w:rsidR="00ED3DB5">
        <w:t>s</w:t>
      </w:r>
      <w:r>
        <w:t xml:space="preserve"> favor.  The District Court’s deference to the SEC’s interpretation of the DFA </w:t>
      </w:r>
      <w:r w:rsidR="001D278C">
        <w:t>was</w:t>
      </w:r>
      <w:r>
        <w:t xml:space="preserve"> based on a framework established in a landmark Supreme Court case, </w:t>
      </w:r>
      <w:r w:rsidRPr="0067751A">
        <w:rPr>
          <w:u w:val="single"/>
        </w:rPr>
        <w:t xml:space="preserve">Chevron </w:t>
      </w:r>
      <w:r w:rsidRPr="0067751A">
        <w:rPr>
          <w:u w:val="single"/>
        </w:rPr>
        <w:lastRenderedPageBreak/>
        <w:t>U.S.A., Inc. v. NRDC</w:t>
      </w:r>
      <w:r>
        <w:t xml:space="preserve">, 467 U.S. 837 (1984).  In that case, the Supreme Court </w:t>
      </w:r>
      <w:r w:rsidR="008E23FB">
        <w:t>created</w:t>
      </w:r>
      <w:r>
        <w:t xml:space="preserve"> an administrative law principle that</w:t>
      </w:r>
      <w:r w:rsidR="00A563B6">
        <w:t xml:space="preserve"> requires</w:t>
      </w:r>
      <w:r>
        <w:t xml:space="preserve"> courts </w:t>
      </w:r>
      <w:r w:rsidR="00A563B6">
        <w:t>to</w:t>
      </w:r>
      <w:r>
        <w:t xml:space="preserve"> defer to an agency’s interpretation of a</w:t>
      </w:r>
      <w:r w:rsidR="00A563B6">
        <w:t>n ambiguous statutory provision</w:t>
      </w:r>
      <w:r>
        <w:t xml:space="preserve">, </w:t>
      </w:r>
      <w:r w:rsidR="00A563B6">
        <w:t xml:space="preserve">as long as the interpretation is reasonable, </w:t>
      </w:r>
      <w:r w:rsidR="008E23FB">
        <w:t>meaning the interpretation i</w:t>
      </w:r>
      <w:r w:rsidR="00A563B6">
        <w:t xml:space="preserve">s not “arbitrary, capricious, or manifestly contrary to the statute.”  The interpretation need not be the only or best interpretation, just reasonable.  </w:t>
      </w:r>
    </w:p>
    <w:p w14:paraId="004A1B14" w14:textId="35FD7ED2" w:rsidR="00A563B6" w:rsidRDefault="00A563B6" w:rsidP="00D3437F"/>
    <w:p w14:paraId="58F70CBD" w14:textId="0D1E77BD" w:rsidR="00A563B6" w:rsidRDefault="00A563B6" w:rsidP="00D3437F">
      <w:r>
        <w:t>Fu</w:t>
      </w:r>
      <w:r w:rsidR="00617A85">
        <w:t>rthermore, the practical effect</w:t>
      </w:r>
      <w:r>
        <w:t xml:space="preserve"> </w:t>
      </w:r>
      <w:r w:rsidR="001D1AD0">
        <w:t>of a ruling for Digital Realty c</w:t>
      </w:r>
      <w:r>
        <w:t xml:space="preserve">ould be problematic for the </w:t>
      </w:r>
      <w:r w:rsidR="00617A85">
        <w:t xml:space="preserve">financial industry as a whole.  </w:t>
      </w:r>
      <w:r w:rsidR="001D1AD0">
        <w:t>C</w:t>
      </w:r>
      <w:r w:rsidR="00617A85">
        <w:t>orporate accountability</w:t>
      </w:r>
      <w:r w:rsidR="001D1AD0">
        <w:t>,</w:t>
      </w:r>
      <w:r w:rsidR="00617A85">
        <w:t xml:space="preserve"> both inside and outside of America’s financial institutions</w:t>
      </w:r>
      <w:r w:rsidR="001D1AD0">
        <w:t xml:space="preserve">, is of paramount </w:t>
      </w:r>
      <w:r w:rsidR="00EE03F2">
        <w:t xml:space="preserve">“front page” </w:t>
      </w:r>
      <w:r w:rsidR="0091341B">
        <w:t>importance</w:t>
      </w:r>
      <w:r w:rsidR="00617A85">
        <w:t xml:space="preserve">.  Internal whistleblowing </w:t>
      </w:r>
      <w:r w:rsidR="00C532ED">
        <w:t>is</w:t>
      </w:r>
      <w:r w:rsidR="00617A85">
        <w:t xml:space="preserve"> a valuable tool for all interested parties.  A ruling for Digital Realty would take much of </w:t>
      </w:r>
      <w:r w:rsidR="008E23FB">
        <w:t>the bite</w:t>
      </w:r>
      <w:r w:rsidR="00617A85">
        <w:t xml:space="preserve"> </w:t>
      </w:r>
      <w:r>
        <w:t>out of the DFA</w:t>
      </w:r>
      <w:r w:rsidR="008E23FB">
        <w:t>’s whistleblower provision</w:t>
      </w:r>
      <w:r w:rsidR="0091341B">
        <w:t xml:space="preserve">.  </w:t>
      </w:r>
      <w:r w:rsidR="00617A85">
        <w:t>A</w:t>
      </w:r>
      <w:r>
        <w:t xml:space="preserve">s one commentator has stated, “The results would be catastrophic, not only for the employees who lose </w:t>
      </w:r>
      <w:r w:rsidR="000D5D60">
        <w:t>their</w:t>
      </w:r>
      <w:r>
        <w:t xml:space="preserve"> jobs trying to do the right thing, but also for investors who must rely upon the accuracy of numerous internal corporate disclosures when making investment decisions, and corporations which have created extensive compliance programs designed as an early reporting system protecting the company from fraud.”</w:t>
      </w:r>
      <w:r>
        <w:rPr>
          <w:rStyle w:val="FootnoteReference"/>
        </w:rPr>
        <w:footnoteReference w:id="12"/>
      </w:r>
      <w:r>
        <w:t xml:space="preserve"> </w:t>
      </w:r>
    </w:p>
    <w:p w14:paraId="642D5E77" w14:textId="77777777" w:rsidR="00617A85" w:rsidRDefault="00617A85" w:rsidP="00D3437F"/>
    <w:p w14:paraId="4CEE914B" w14:textId="77777777" w:rsidR="00617A85" w:rsidRDefault="00617A85" w:rsidP="00D3437F"/>
    <w:p w14:paraId="4026B42E" w14:textId="77777777" w:rsidR="00617A85" w:rsidRDefault="00617A85" w:rsidP="00D3437F"/>
    <w:p w14:paraId="19E96E01" w14:textId="77777777" w:rsidR="00617A85" w:rsidRDefault="00617A85" w:rsidP="00D3437F"/>
    <w:p w14:paraId="1A59DC73" w14:textId="77777777" w:rsidR="00617A85" w:rsidRDefault="00617A85" w:rsidP="00D3437F"/>
    <w:p w14:paraId="132D957E" w14:textId="77777777" w:rsidR="00617A85" w:rsidRDefault="00617A85" w:rsidP="00D3437F"/>
    <w:p w14:paraId="0A6699A9" w14:textId="77777777" w:rsidR="00617A85" w:rsidRDefault="00617A85" w:rsidP="00D3437F"/>
    <w:p w14:paraId="3B1FFF1D" w14:textId="77777777" w:rsidR="0091341B" w:rsidRDefault="0091341B" w:rsidP="00D3437F"/>
    <w:p w14:paraId="4588496D" w14:textId="4BFD2077" w:rsidR="00EA2988" w:rsidRPr="00EA2988" w:rsidRDefault="00EA2988" w:rsidP="00D3437F">
      <w:r>
        <w:t>The Supreme Court’s decision will have a meani</w:t>
      </w:r>
      <w:r w:rsidR="0091341B">
        <w:t>ngful impact one way or another</w:t>
      </w:r>
      <w:r>
        <w:t xml:space="preserve"> and is a must-watch for employers and employees in the financial industry.  Employees should be aware of the current incentives and protections afforded to them under the DFA, and how </w:t>
      </w:r>
      <w:r w:rsidRPr="00EA2988">
        <w:rPr>
          <w:u w:val="single"/>
        </w:rPr>
        <w:t>Digital Realty</w:t>
      </w:r>
      <w:r>
        <w:t xml:space="preserve"> may change those benefits, while employers should be cognizant of how </w:t>
      </w:r>
      <w:r>
        <w:rPr>
          <w:u w:val="single"/>
        </w:rPr>
        <w:t>Digital Realty</w:t>
      </w:r>
      <w:r>
        <w:t xml:space="preserve"> could impact their internal compliance practices.  </w:t>
      </w:r>
    </w:p>
    <w:p w14:paraId="42CC74E7" w14:textId="77777777" w:rsidR="006E3B68" w:rsidRDefault="006E3B68" w:rsidP="00D3437F"/>
    <w:p w14:paraId="4D466AB3" w14:textId="77777777" w:rsidR="00EF0479" w:rsidRDefault="00EF0479" w:rsidP="00D3437F"/>
    <w:p w14:paraId="7AF2E405" w14:textId="77777777" w:rsidR="00D7705E" w:rsidRDefault="00D7705E" w:rsidP="00D3437F"/>
    <w:p w14:paraId="53228E79" w14:textId="06D6DD1C" w:rsidR="00D3437F" w:rsidRDefault="000736A2" w:rsidP="00D3437F">
      <w:r>
        <w:rPr>
          <w:i/>
          <w:iCs/>
          <w:sz w:val="23"/>
          <w:szCs w:val="23"/>
        </w:rPr>
        <w:t>Gregory T. Laudadio</w:t>
      </w:r>
      <w:r w:rsidR="001017F2">
        <w:rPr>
          <w:i/>
          <w:iCs/>
          <w:sz w:val="23"/>
          <w:szCs w:val="23"/>
        </w:rPr>
        <w:t>, Esq.</w:t>
      </w:r>
      <w:r>
        <w:rPr>
          <w:i/>
          <w:iCs/>
          <w:sz w:val="23"/>
          <w:szCs w:val="23"/>
        </w:rPr>
        <w:t xml:space="preserve"> is admitted to practice in</w:t>
      </w:r>
      <w:r w:rsidR="00183251">
        <w:rPr>
          <w:i/>
          <w:iCs/>
          <w:sz w:val="23"/>
          <w:szCs w:val="23"/>
        </w:rPr>
        <w:t xml:space="preserve"> Pennsylvania</w:t>
      </w:r>
      <w:r w:rsidR="00D3437F">
        <w:rPr>
          <w:i/>
          <w:iCs/>
          <w:sz w:val="23"/>
          <w:szCs w:val="23"/>
        </w:rPr>
        <w:t>.  He may be</w:t>
      </w:r>
      <w:r>
        <w:rPr>
          <w:i/>
          <w:iCs/>
          <w:sz w:val="23"/>
          <w:szCs w:val="23"/>
        </w:rPr>
        <w:t xml:space="preserve"> reached at 610-408-2052, or at </w:t>
      </w:r>
      <w:r w:rsidR="00D3437F">
        <w:rPr>
          <w:i/>
          <w:iCs/>
          <w:sz w:val="23"/>
          <w:szCs w:val="23"/>
        </w:rPr>
        <w:t>glaudadio@rubinfortunato.com.</w:t>
      </w:r>
      <w:r w:rsidR="00CC4485">
        <w:rPr>
          <w:i/>
          <w:iCs/>
          <w:sz w:val="23"/>
          <w:szCs w:val="23"/>
        </w:rPr>
        <w:t xml:space="preserve"> </w:t>
      </w:r>
    </w:p>
    <w:p w14:paraId="4BA5B9C3" w14:textId="2E42B04B" w:rsidR="00545501" w:rsidRDefault="00545501"/>
    <w:sectPr w:rsidR="00545501" w:rsidSect="008B298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ECFD" w14:textId="77777777" w:rsidR="00D3437F" w:rsidRDefault="00D3437F" w:rsidP="00D3437F">
      <w:r>
        <w:separator/>
      </w:r>
    </w:p>
  </w:endnote>
  <w:endnote w:type="continuationSeparator" w:id="0">
    <w:p w14:paraId="0ABC54EC" w14:textId="77777777" w:rsidR="00D3437F" w:rsidRDefault="00D3437F" w:rsidP="00D3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9527" w14:textId="77777777" w:rsidR="00D3437F" w:rsidRDefault="00D3437F" w:rsidP="008B298E">
    <w:pPr>
      <w:pStyle w:val="Default"/>
    </w:pPr>
  </w:p>
  <w:p w14:paraId="74C3D39B" w14:textId="77777777" w:rsidR="00D3437F" w:rsidRDefault="00D3437F" w:rsidP="008B298E">
    <w:pPr>
      <w:pStyle w:val="Footer"/>
      <w:jc w:val="center"/>
    </w:pPr>
    <w:r>
      <w:t xml:space="preserve"> </w:t>
    </w:r>
    <w:r>
      <w:rPr>
        <w:sz w:val="20"/>
        <w:szCs w:val="20"/>
      </w:rPr>
      <w:t>This newsletter is designed to provide one perspective regarding recent legal developments, and is not intended to serve as legal advice, nor does it establish an attorney-client relationship with any reader of the article where one does not exist.  Always consult an attorney with specific legal issues.</w:t>
    </w:r>
  </w:p>
  <w:p w14:paraId="1799C45E" w14:textId="77777777" w:rsidR="00D3437F" w:rsidRDefault="00D3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49FD" w14:textId="77777777" w:rsidR="00D3437F" w:rsidRDefault="00D3437F" w:rsidP="00D3437F">
      <w:r>
        <w:separator/>
      </w:r>
    </w:p>
  </w:footnote>
  <w:footnote w:type="continuationSeparator" w:id="0">
    <w:p w14:paraId="613C103C" w14:textId="77777777" w:rsidR="00D3437F" w:rsidRDefault="00D3437F" w:rsidP="00D3437F">
      <w:r>
        <w:continuationSeparator/>
      </w:r>
    </w:p>
  </w:footnote>
  <w:footnote w:id="1">
    <w:p w14:paraId="6FC41BF4" w14:textId="2CED6BE8" w:rsidR="003660C6" w:rsidRPr="003054A6" w:rsidRDefault="003660C6">
      <w:pPr>
        <w:pStyle w:val="FootnoteText"/>
        <w:rPr>
          <w:sz w:val="20"/>
        </w:rPr>
      </w:pPr>
      <w:r w:rsidRPr="003054A6">
        <w:rPr>
          <w:rStyle w:val="FootnoteReference"/>
          <w:sz w:val="20"/>
        </w:rPr>
        <w:footnoteRef/>
      </w:r>
      <w:r w:rsidRPr="003054A6">
        <w:rPr>
          <w:sz w:val="20"/>
        </w:rPr>
        <w:t xml:space="preserve"> 124 Stat. 1376</w:t>
      </w:r>
      <w:r w:rsidR="00013108" w:rsidRPr="003054A6">
        <w:rPr>
          <w:sz w:val="20"/>
        </w:rPr>
        <w:t>.</w:t>
      </w:r>
    </w:p>
  </w:footnote>
  <w:footnote w:id="2">
    <w:p w14:paraId="3267908D" w14:textId="570F663E" w:rsidR="00E117D5" w:rsidRPr="003054A6" w:rsidRDefault="00E117D5">
      <w:pPr>
        <w:pStyle w:val="FootnoteText"/>
        <w:rPr>
          <w:sz w:val="20"/>
        </w:rPr>
      </w:pPr>
      <w:r w:rsidRPr="003054A6">
        <w:rPr>
          <w:rStyle w:val="FootnoteReference"/>
          <w:sz w:val="20"/>
        </w:rPr>
        <w:footnoteRef/>
      </w:r>
      <w:r w:rsidRPr="003054A6">
        <w:rPr>
          <w:sz w:val="20"/>
        </w:rPr>
        <w:t xml:space="preserve"> </w:t>
      </w:r>
      <w:r w:rsidRPr="003054A6">
        <w:rPr>
          <w:i/>
          <w:sz w:val="20"/>
        </w:rPr>
        <w:t xml:space="preserve">See </w:t>
      </w:r>
      <w:r w:rsidRPr="003054A6">
        <w:rPr>
          <w:sz w:val="20"/>
        </w:rPr>
        <w:t>15 U.S.C</w:t>
      </w:r>
      <w:r w:rsidR="00D33A6B" w:rsidRPr="003054A6">
        <w:rPr>
          <w:sz w:val="20"/>
        </w:rPr>
        <w:t>.</w:t>
      </w:r>
      <w:r w:rsidRPr="003054A6">
        <w:rPr>
          <w:sz w:val="20"/>
        </w:rPr>
        <w:t xml:space="preserve"> §</w:t>
      </w:r>
      <w:r w:rsidR="005E2E60" w:rsidRPr="003054A6">
        <w:rPr>
          <w:sz w:val="20"/>
        </w:rPr>
        <w:t xml:space="preserve"> 78u-6, which was added as Section 21F to the Securities Exchange Act of 1934.</w:t>
      </w:r>
    </w:p>
  </w:footnote>
  <w:footnote w:id="3">
    <w:p w14:paraId="17960FE7" w14:textId="4E7A1180" w:rsidR="00D33A6B" w:rsidRPr="003054A6" w:rsidRDefault="00D33A6B">
      <w:pPr>
        <w:pStyle w:val="FootnoteText"/>
        <w:rPr>
          <w:sz w:val="20"/>
        </w:rPr>
      </w:pPr>
      <w:r w:rsidRPr="003054A6">
        <w:rPr>
          <w:rStyle w:val="FootnoteReference"/>
          <w:sz w:val="20"/>
        </w:rPr>
        <w:footnoteRef/>
      </w:r>
      <w:r w:rsidRPr="003054A6">
        <w:rPr>
          <w:sz w:val="20"/>
        </w:rPr>
        <w:t xml:space="preserve"> </w:t>
      </w:r>
      <w:r w:rsidRPr="003054A6">
        <w:rPr>
          <w:i/>
          <w:sz w:val="20"/>
        </w:rPr>
        <w:t xml:space="preserve">See </w:t>
      </w:r>
      <w:r w:rsidRPr="003054A6">
        <w:rPr>
          <w:sz w:val="20"/>
        </w:rPr>
        <w:t xml:space="preserve">15 U.S.C. § 78u-6(h)(1)(A). </w:t>
      </w:r>
    </w:p>
  </w:footnote>
  <w:footnote w:id="4">
    <w:p w14:paraId="39A47ADB" w14:textId="16ED1185" w:rsidR="00294171" w:rsidRPr="003054A6" w:rsidRDefault="00294171">
      <w:pPr>
        <w:pStyle w:val="FootnoteText"/>
        <w:rPr>
          <w:sz w:val="20"/>
        </w:rPr>
      </w:pPr>
      <w:r w:rsidRPr="003054A6">
        <w:rPr>
          <w:rStyle w:val="FootnoteReference"/>
          <w:sz w:val="20"/>
        </w:rPr>
        <w:footnoteRef/>
      </w:r>
      <w:r w:rsidRPr="003054A6">
        <w:rPr>
          <w:sz w:val="20"/>
        </w:rPr>
        <w:t xml:space="preserve"> 15 U.S.C. § 78u-6(a)(6).</w:t>
      </w:r>
    </w:p>
  </w:footnote>
  <w:footnote w:id="5">
    <w:p w14:paraId="22C49CF8" w14:textId="7A261407" w:rsidR="009B46A0" w:rsidRPr="003054A6" w:rsidRDefault="009B46A0">
      <w:pPr>
        <w:pStyle w:val="FootnoteText"/>
        <w:rPr>
          <w:sz w:val="20"/>
        </w:rPr>
      </w:pPr>
      <w:r w:rsidRPr="003054A6">
        <w:rPr>
          <w:rStyle w:val="FootnoteReference"/>
          <w:sz w:val="20"/>
        </w:rPr>
        <w:footnoteRef/>
      </w:r>
      <w:r w:rsidRPr="003054A6">
        <w:rPr>
          <w:sz w:val="20"/>
        </w:rPr>
        <w:t xml:space="preserve"> </w:t>
      </w:r>
      <w:r w:rsidR="00466816" w:rsidRPr="003054A6">
        <w:rPr>
          <w:i/>
          <w:sz w:val="20"/>
        </w:rPr>
        <w:t>See</w:t>
      </w:r>
      <w:r w:rsidR="00466816" w:rsidRPr="003054A6">
        <w:rPr>
          <w:sz w:val="20"/>
        </w:rPr>
        <w:t xml:space="preserve">, </w:t>
      </w:r>
      <w:r w:rsidR="00466816" w:rsidRPr="003054A6">
        <w:rPr>
          <w:i/>
          <w:sz w:val="20"/>
        </w:rPr>
        <w:t>e.g.</w:t>
      </w:r>
      <w:r w:rsidR="00466816" w:rsidRPr="003054A6">
        <w:rPr>
          <w:sz w:val="20"/>
        </w:rPr>
        <w:t xml:space="preserve">, </w:t>
      </w:r>
      <w:r w:rsidR="00466816" w:rsidRPr="003054A6">
        <w:rPr>
          <w:sz w:val="20"/>
          <w:u w:val="single"/>
        </w:rPr>
        <w:t>Asadi v. G.E. Energy (USA), L.L.C.</w:t>
      </w:r>
      <w:r w:rsidR="00466816" w:rsidRPr="003054A6">
        <w:rPr>
          <w:sz w:val="20"/>
        </w:rPr>
        <w:t>, 720 F.3d 620 (5</w:t>
      </w:r>
      <w:r w:rsidR="00466816" w:rsidRPr="00C532ED">
        <w:rPr>
          <w:sz w:val="20"/>
        </w:rPr>
        <w:t>th</w:t>
      </w:r>
      <w:r w:rsidR="00466816" w:rsidRPr="003054A6">
        <w:rPr>
          <w:sz w:val="20"/>
        </w:rPr>
        <w:t xml:space="preserve"> Cir. 2013) (rejecting SEC interpretation that DFA was meant to protect whistleblowers who make disclosures internally</w:t>
      </w:r>
      <w:r w:rsidR="00E7770B">
        <w:rPr>
          <w:sz w:val="20"/>
        </w:rPr>
        <w:t xml:space="preserve"> or to the SEC</w:t>
      </w:r>
      <w:r w:rsidR="00466816" w:rsidRPr="003054A6">
        <w:rPr>
          <w:sz w:val="20"/>
        </w:rPr>
        <w:t xml:space="preserve">); </w:t>
      </w:r>
      <w:r w:rsidR="00466816" w:rsidRPr="003054A6">
        <w:rPr>
          <w:sz w:val="20"/>
          <w:u w:val="single"/>
        </w:rPr>
        <w:t>Berman v. Neo@Ogilvy LLC</w:t>
      </w:r>
      <w:r w:rsidR="00466816" w:rsidRPr="003054A6">
        <w:rPr>
          <w:sz w:val="20"/>
        </w:rPr>
        <w:t>, 801 F.3d 145 (2d Cir. 2015) (adopting SEC’s interpretation that whistleblowers who make disclosures internally are protected under DFA).</w:t>
      </w:r>
    </w:p>
  </w:footnote>
  <w:footnote w:id="6">
    <w:p w14:paraId="52D06D28" w14:textId="77777777" w:rsidR="00C532ED" w:rsidRPr="003054A6" w:rsidRDefault="00C532ED" w:rsidP="00C532ED">
      <w:pPr>
        <w:pStyle w:val="FootnoteText"/>
        <w:rPr>
          <w:sz w:val="20"/>
        </w:rPr>
      </w:pPr>
      <w:r w:rsidRPr="003054A6">
        <w:rPr>
          <w:rStyle w:val="FootnoteReference"/>
          <w:sz w:val="20"/>
        </w:rPr>
        <w:footnoteRef/>
      </w:r>
      <w:r w:rsidRPr="003054A6">
        <w:rPr>
          <w:sz w:val="20"/>
        </w:rPr>
        <w:t xml:space="preserve"> 116 Stat. 745.  SO</w:t>
      </w:r>
      <w:r>
        <w:rPr>
          <w:sz w:val="20"/>
        </w:rPr>
        <w:t>X</w:t>
      </w:r>
      <w:r w:rsidRPr="003054A6">
        <w:rPr>
          <w:sz w:val="20"/>
        </w:rPr>
        <w:t xml:space="preserve">, enacted in response to major corporate scandals in 2002, is considered the predecessor to the DFA.  Like the DFA, it seeks to create stability in the financial industry by regulating corporate action and protecting consumers. </w:t>
      </w:r>
    </w:p>
  </w:footnote>
  <w:footnote w:id="7">
    <w:p w14:paraId="6CD3B1CA" w14:textId="109F7B25" w:rsidR="00CE07B7" w:rsidRPr="003054A6" w:rsidRDefault="00CE07B7">
      <w:pPr>
        <w:pStyle w:val="FootnoteText"/>
        <w:rPr>
          <w:sz w:val="20"/>
        </w:rPr>
      </w:pPr>
      <w:r w:rsidRPr="003054A6">
        <w:rPr>
          <w:rStyle w:val="FootnoteReference"/>
          <w:sz w:val="20"/>
        </w:rPr>
        <w:footnoteRef/>
      </w:r>
      <w:r w:rsidRPr="003054A6">
        <w:rPr>
          <w:sz w:val="20"/>
        </w:rPr>
        <w:t xml:space="preserve"> </w:t>
      </w:r>
      <w:r w:rsidRPr="003054A6">
        <w:rPr>
          <w:sz w:val="20"/>
          <w:u w:val="single"/>
        </w:rPr>
        <w:t>Somers v. Digit</w:t>
      </w:r>
      <w:bookmarkStart w:id="0" w:name="_GoBack"/>
      <w:bookmarkEnd w:id="0"/>
      <w:r w:rsidRPr="003054A6">
        <w:rPr>
          <w:sz w:val="20"/>
          <w:u w:val="single"/>
        </w:rPr>
        <w:t>al Realty Trust, Inc.</w:t>
      </w:r>
      <w:r w:rsidRPr="003054A6">
        <w:rPr>
          <w:sz w:val="20"/>
        </w:rPr>
        <w:t>, 119 F. Supp. 3d 1088, 1092 (N.D. Cal 2015).</w:t>
      </w:r>
    </w:p>
  </w:footnote>
  <w:footnote w:id="8">
    <w:p w14:paraId="65104D6F" w14:textId="07F56919" w:rsidR="004102DF" w:rsidRPr="003054A6" w:rsidRDefault="004102DF" w:rsidP="004102DF">
      <w:pPr>
        <w:pStyle w:val="FootnoteText"/>
        <w:rPr>
          <w:sz w:val="20"/>
        </w:rPr>
      </w:pPr>
      <w:r w:rsidRPr="003054A6">
        <w:rPr>
          <w:rStyle w:val="FootnoteReference"/>
          <w:sz w:val="20"/>
        </w:rPr>
        <w:footnoteRef/>
      </w:r>
      <w:r w:rsidRPr="003054A6">
        <w:rPr>
          <w:sz w:val="20"/>
        </w:rPr>
        <w:t xml:space="preserve"> Somers brought several other claims as well, including discrimination and defamation.  Digital Realty moved to dismiss </w:t>
      </w:r>
      <w:r>
        <w:rPr>
          <w:sz w:val="20"/>
        </w:rPr>
        <w:t xml:space="preserve">only </w:t>
      </w:r>
      <w:r w:rsidRPr="003054A6">
        <w:rPr>
          <w:sz w:val="20"/>
        </w:rPr>
        <w:t xml:space="preserve">the charges related to the DFA.  </w:t>
      </w:r>
    </w:p>
  </w:footnote>
  <w:footnote w:id="9">
    <w:p w14:paraId="203C9FA6" w14:textId="61EAF1A6" w:rsidR="00AD5A46" w:rsidRPr="003054A6" w:rsidRDefault="00AD5A46">
      <w:pPr>
        <w:pStyle w:val="FootnoteText"/>
        <w:rPr>
          <w:sz w:val="20"/>
        </w:rPr>
      </w:pPr>
      <w:r w:rsidRPr="003054A6">
        <w:rPr>
          <w:rStyle w:val="FootnoteReference"/>
          <w:sz w:val="20"/>
        </w:rPr>
        <w:footnoteRef/>
      </w:r>
      <w:r w:rsidRPr="003054A6">
        <w:rPr>
          <w:sz w:val="20"/>
        </w:rPr>
        <w:t xml:space="preserve"> 15 U.S.C. § 78u-6(h)(1)(A)(iii).</w:t>
      </w:r>
    </w:p>
  </w:footnote>
  <w:footnote w:id="10">
    <w:p w14:paraId="6058E74D" w14:textId="398D3C5A" w:rsidR="003A2A3E" w:rsidRPr="003054A6" w:rsidRDefault="003A2A3E" w:rsidP="003A2A3E">
      <w:pPr>
        <w:pStyle w:val="FootnoteText"/>
        <w:rPr>
          <w:sz w:val="20"/>
        </w:rPr>
      </w:pPr>
      <w:r w:rsidRPr="003054A6">
        <w:rPr>
          <w:rStyle w:val="FootnoteReference"/>
          <w:sz w:val="20"/>
        </w:rPr>
        <w:footnoteRef/>
      </w:r>
      <w:r w:rsidRPr="003054A6">
        <w:rPr>
          <w:sz w:val="20"/>
        </w:rPr>
        <w:t xml:space="preserve"> 17 CFR 240.21F-2</w:t>
      </w:r>
      <w:r w:rsidR="006773AF" w:rsidRPr="003054A6">
        <w:rPr>
          <w:sz w:val="20"/>
        </w:rPr>
        <w:t xml:space="preserve">(b)(1)(ii); </w:t>
      </w:r>
      <w:r w:rsidR="006773AF" w:rsidRPr="003054A6">
        <w:rPr>
          <w:i/>
          <w:sz w:val="20"/>
        </w:rPr>
        <w:t>See also</w:t>
      </w:r>
      <w:r w:rsidR="006773AF" w:rsidRPr="003054A6">
        <w:rPr>
          <w:sz w:val="20"/>
        </w:rPr>
        <w:t xml:space="preserve"> </w:t>
      </w:r>
      <w:r w:rsidR="006773AF" w:rsidRPr="003054A6">
        <w:rPr>
          <w:sz w:val="20"/>
          <w:u w:val="single"/>
        </w:rPr>
        <w:t xml:space="preserve">Securities Whistleblower </w:t>
      </w:r>
      <w:r w:rsidR="00321884" w:rsidRPr="003054A6">
        <w:rPr>
          <w:sz w:val="20"/>
          <w:u w:val="single"/>
        </w:rPr>
        <w:t>Incentives</w:t>
      </w:r>
      <w:r w:rsidR="006773AF" w:rsidRPr="003054A6">
        <w:rPr>
          <w:sz w:val="20"/>
          <w:u w:val="single"/>
        </w:rPr>
        <w:t xml:space="preserve"> and Protections (Adopting Release)</w:t>
      </w:r>
      <w:r w:rsidR="00321884" w:rsidRPr="003054A6">
        <w:rPr>
          <w:sz w:val="20"/>
        </w:rPr>
        <w:t xml:space="preserve">, 789 Fed. Reg. 34300, 3401-3404 (June 13, 2011).  </w:t>
      </w:r>
      <w:r w:rsidRPr="003054A6">
        <w:rPr>
          <w:sz w:val="20"/>
        </w:rPr>
        <w:t xml:space="preserve"> </w:t>
      </w:r>
    </w:p>
  </w:footnote>
  <w:footnote w:id="11">
    <w:p w14:paraId="1959CFFD" w14:textId="24DE3931" w:rsidR="00192ABF" w:rsidRPr="003054A6" w:rsidRDefault="00192ABF" w:rsidP="00087270">
      <w:pPr>
        <w:pStyle w:val="FootnoteText"/>
        <w:rPr>
          <w:sz w:val="20"/>
        </w:rPr>
      </w:pPr>
      <w:r w:rsidRPr="003054A6">
        <w:rPr>
          <w:rStyle w:val="FootnoteReference"/>
          <w:sz w:val="20"/>
        </w:rPr>
        <w:footnoteRef/>
      </w:r>
      <w:r w:rsidRPr="003054A6">
        <w:rPr>
          <w:sz w:val="20"/>
        </w:rPr>
        <w:t xml:space="preserve"> </w:t>
      </w:r>
      <w:r w:rsidR="00087270" w:rsidRPr="003054A6">
        <w:rPr>
          <w:sz w:val="20"/>
          <w:u w:val="single"/>
        </w:rPr>
        <w:t>Somers v. Digital Realty Trust, Inc.</w:t>
      </w:r>
      <w:r w:rsidR="00087270" w:rsidRPr="003054A6">
        <w:rPr>
          <w:sz w:val="20"/>
        </w:rPr>
        <w:t xml:space="preserve">, 850 F.3d 1045, 1047 (9th Cir. 2017). </w:t>
      </w:r>
    </w:p>
  </w:footnote>
  <w:footnote w:id="12">
    <w:p w14:paraId="07214376" w14:textId="182128CD" w:rsidR="00A563B6" w:rsidRPr="003054A6" w:rsidRDefault="00A563B6">
      <w:pPr>
        <w:pStyle w:val="FootnoteText"/>
        <w:rPr>
          <w:sz w:val="20"/>
        </w:rPr>
      </w:pPr>
      <w:r w:rsidRPr="003054A6">
        <w:rPr>
          <w:rStyle w:val="FootnoteReference"/>
          <w:sz w:val="20"/>
        </w:rPr>
        <w:footnoteRef/>
      </w:r>
      <w:r w:rsidRPr="003054A6">
        <w:rPr>
          <w:sz w:val="20"/>
        </w:rPr>
        <w:t xml:space="preserve"> </w:t>
      </w:r>
      <w:r w:rsidR="000D5D60" w:rsidRPr="003054A6">
        <w:rPr>
          <w:sz w:val="20"/>
        </w:rPr>
        <w:t xml:space="preserve">Stephen Kohn, </w:t>
      </w:r>
      <w:r w:rsidR="000D5D60" w:rsidRPr="003054A6">
        <w:rPr>
          <w:sz w:val="20"/>
          <w:u w:val="single"/>
        </w:rPr>
        <w:t>Digital Realty Trust v. Somers May Kill Corporate Compliance</w:t>
      </w:r>
      <w:r w:rsidR="000D5D60" w:rsidRPr="003054A6">
        <w:rPr>
          <w:sz w:val="20"/>
        </w:rPr>
        <w:t>, Law360 (</w:t>
      </w:r>
      <w:r w:rsidR="003054A6" w:rsidRPr="003054A6">
        <w:rPr>
          <w:sz w:val="20"/>
        </w:rPr>
        <w:t>Sep. 21, 2017, 1:14 PM), https://www.law360.com/articles/964208/digital-realty-trust-v-somers-may-kill-corporate-compliance.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7F"/>
    <w:rsid w:val="000069FF"/>
    <w:rsid w:val="00013108"/>
    <w:rsid w:val="00026292"/>
    <w:rsid w:val="00030FE4"/>
    <w:rsid w:val="000453E1"/>
    <w:rsid w:val="000509AE"/>
    <w:rsid w:val="00052C6A"/>
    <w:rsid w:val="000736A2"/>
    <w:rsid w:val="00087270"/>
    <w:rsid w:val="000A1262"/>
    <w:rsid w:val="000B3EB7"/>
    <w:rsid w:val="000B78F7"/>
    <w:rsid w:val="000C5C1B"/>
    <w:rsid w:val="000D5D60"/>
    <w:rsid w:val="001017F2"/>
    <w:rsid w:val="0011450A"/>
    <w:rsid w:val="00131988"/>
    <w:rsid w:val="00136882"/>
    <w:rsid w:val="00153FD3"/>
    <w:rsid w:val="00183251"/>
    <w:rsid w:val="00184AD3"/>
    <w:rsid w:val="00191F67"/>
    <w:rsid w:val="00192ABF"/>
    <w:rsid w:val="00192AC6"/>
    <w:rsid w:val="001A4110"/>
    <w:rsid w:val="001B157D"/>
    <w:rsid w:val="001B2965"/>
    <w:rsid w:val="001D1AD0"/>
    <w:rsid w:val="001D278C"/>
    <w:rsid w:val="001D53C0"/>
    <w:rsid w:val="001F029B"/>
    <w:rsid w:val="002048E4"/>
    <w:rsid w:val="00207AA9"/>
    <w:rsid w:val="00220C10"/>
    <w:rsid w:val="00234DD5"/>
    <w:rsid w:val="0025602A"/>
    <w:rsid w:val="00267302"/>
    <w:rsid w:val="00276435"/>
    <w:rsid w:val="00294171"/>
    <w:rsid w:val="002A4FA9"/>
    <w:rsid w:val="002A7365"/>
    <w:rsid w:val="002D1B20"/>
    <w:rsid w:val="002F147C"/>
    <w:rsid w:val="003054A6"/>
    <w:rsid w:val="00307E57"/>
    <w:rsid w:val="00321884"/>
    <w:rsid w:val="00323793"/>
    <w:rsid w:val="003467AA"/>
    <w:rsid w:val="003660C6"/>
    <w:rsid w:val="0036651C"/>
    <w:rsid w:val="00366FBD"/>
    <w:rsid w:val="00374A13"/>
    <w:rsid w:val="003776AE"/>
    <w:rsid w:val="003A2A3E"/>
    <w:rsid w:val="003B2230"/>
    <w:rsid w:val="003C3281"/>
    <w:rsid w:val="003E780D"/>
    <w:rsid w:val="004102DF"/>
    <w:rsid w:val="00415FAF"/>
    <w:rsid w:val="0043371E"/>
    <w:rsid w:val="00437534"/>
    <w:rsid w:val="004543D8"/>
    <w:rsid w:val="00456D1C"/>
    <w:rsid w:val="00466816"/>
    <w:rsid w:val="00477A62"/>
    <w:rsid w:val="004910D2"/>
    <w:rsid w:val="004B1CCE"/>
    <w:rsid w:val="004E5444"/>
    <w:rsid w:val="00511067"/>
    <w:rsid w:val="0052567A"/>
    <w:rsid w:val="00545501"/>
    <w:rsid w:val="00556A4C"/>
    <w:rsid w:val="00564B05"/>
    <w:rsid w:val="0057517F"/>
    <w:rsid w:val="005C600E"/>
    <w:rsid w:val="005E2E60"/>
    <w:rsid w:val="005E3F97"/>
    <w:rsid w:val="0060618B"/>
    <w:rsid w:val="0060710E"/>
    <w:rsid w:val="00612F1A"/>
    <w:rsid w:val="00617A85"/>
    <w:rsid w:val="0063359D"/>
    <w:rsid w:val="00642209"/>
    <w:rsid w:val="0064454F"/>
    <w:rsid w:val="006724A9"/>
    <w:rsid w:val="00675AD0"/>
    <w:rsid w:val="006773AF"/>
    <w:rsid w:val="0067751A"/>
    <w:rsid w:val="006875A9"/>
    <w:rsid w:val="00697ED5"/>
    <w:rsid w:val="006B4A14"/>
    <w:rsid w:val="006D2471"/>
    <w:rsid w:val="006E3B68"/>
    <w:rsid w:val="006F2CC4"/>
    <w:rsid w:val="0070669F"/>
    <w:rsid w:val="007100B9"/>
    <w:rsid w:val="007249EC"/>
    <w:rsid w:val="007277ED"/>
    <w:rsid w:val="00730932"/>
    <w:rsid w:val="007462C2"/>
    <w:rsid w:val="007536F4"/>
    <w:rsid w:val="007649D5"/>
    <w:rsid w:val="00767AE5"/>
    <w:rsid w:val="007C28E3"/>
    <w:rsid w:val="00836121"/>
    <w:rsid w:val="0086618E"/>
    <w:rsid w:val="00873192"/>
    <w:rsid w:val="0088135A"/>
    <w:rsid w:val="008912AB"/>
    <w:rsid w:val="008B0E29"/>
    <w:rsid w:val="008D2E0C"/>
    <w:rsid w:val="008E23FB"/>
    <w:rsid w:val="008F1C13"/>
    <w:rsid w:val="0091072E"/>
    <w:rsid w:val="0091341B"/>
    <w:rsid w:val="009159AB"/>
    <w:rsid w:val="00943B51"/>
    <w:rsid w:val="00983919"/>
    <w:rsid w:val="00990A37"/>
    <w:rsid w:val="00991F28"/>
    <w:rsid w:val="009A1045"/>
    <w:rsid w:val="009A53AF"/>
    <w:rsid w:val="009A7B48"/>
    <w:rsid w:val="009B46A0"/>
    <w:rsid w:val="009F1E4C"/>
    <w:rsid w:val="009F38C9"/>
    <w:rsid w:val="009F66D0"/>
    <w:rsid w:val="009F702A"/>
    <w:rsid w:val="00A00D7D"/>
    <w:rsid w:val="00A0411D"/>
    <w:rsid w:val="00A06B07"/>
    <w:rsid w:val="00A07AD9"/>
    <w:rsid w:val="00A15C9B"/>
    <w:rsid w:val="00A50BB3"/>
    <w:rsid w:val="00A53FE8"/>
    <w:rsid w:val="00A563B6"/>
    <w:rsid w:val="00A63612"/>
    <w:rsid w:val="00A71ACE"/>
    <w:rsid w:val="00A76A7C"/>
    <w:rsid w:val="00A90C72"/>
    <w:rsid w:val="00AA6759"/>
    <w:rsid w:val="00AB1169"/>
    <w:rsid w:val="00AB43EB"/>
    <w:rsid w:val="00AC39C1"/>
    <w:rsid w:val="00AC5C94"/>
    <w:rsid w:val="00AD0F69"/>
    <w:rsid w:val="00AD436E"/>
    <w:rsid w:val="00AD5A46"/>
    <w:rsid w:val="00AD7BC6"/>
    <w:rsid w:val="00AF38D7"/>
    <w:rsid w:val="00B075F7"/>
    <w:rsid w:val="00B07BB2"/>
    <w:rsid w:val="00B07E4E"/>
    <w:rsid w:val="00B32FFE"/>
    <w:rsid w:val="00B4099E"/>
    <w:rsid w:val="00B51898"/>
    <w:rsid w:val="00B738CE"/>
    <w:rsid w:val="00B82583"/>
    <w:rsid w:val="00B84599"/>
    <w:rsid w:val="00BC7F0D"/>
    <w:rsid w:val="00BF3379"/>
    <w:rsid w:val="00BF66AC"/>
    <w:rsid w:val="00BF78F9"/>
    <w:rsid w:val="00C10264"/>
    <w:rsid w:val="00C1702D"/>
    <w:rsid w:val="00C23B25"/>
    <w:rsid w:val="00C307EF"/>
    <w:rsid w:val="00C40267"/>
    <w:rsid w:val="00C41626"/>
    <w:rsid w:val="00C532ED"/>
    <w:rsid w:val="00C5679C"/>
    <w:rsid w:val="00C62D3D"/>
    <w:rsid w:val="00C9672F"/>
    <w:rsid w:val="00C97079"/>
    <w:rsid w:val="00C979CB"/>
    <w:rsid w:val="00CC4485"/>
    <w:rsid w:val="00CC75C7"/>
    <w:rsid w:val="00CD0C8C"/>
    <w:rsid w:val="00CE07B7"/>
    <w:rsid w:val="00CF03AA"/>
    <w:rsid w:val="00D05C62"/>
    <w:rsid w:val="00D33A6B"/>
    <w:rsid w:val="00D3437F"/>
    <w:rsid w:val="00D72188"/>
    <w:rsid w:val="00D753E2"/>
    <w:rsid w:val="00D7705E"/>
    <w:rsid w:val="00DA3CD9"/>
    <w:rsid w:val="00DD3566"/>
    <w:rsid w:val="00E117D5"/>
    <w:rsid w:val="00E17F07"/>
    <w:rsid w:val="00E22A8A"/>
    <w:rsid w:val="00E36118"/>
    <w:rsid w:val="00E40140"/>
    <w:rsid w:val="00E44BC4"/>
    <w:rsid w:val="00E50C76"/>
    <w:rsid w:val="00E71DC5"/>
    <w:rsid w:val="00E7770B"/>
    <w:rsid w:val="00E9196D"/>
    <w:rsid w:val="00EA2988"/>
    <w:rsid w:val="00EC1194"/>
    <w:rsid w:val="00ED247F"/>
    <w:rsid w:val="00ED3DB5"/>
    <w:rsid w:val="00ED6695"/>
    <w:rsid w:val="00ED7418"/>
    <w:rsid w:val="00EE03F2"/>
    <w:rsid w:val="00EE4552"/>
    <w:rsid w:val="00EF0479"/>
    <w:rsid w:val="00F4480F"/>
    <w:rsid w:val="00F632D6"/>
    <w:rsid w:val="00F9028A"/>
    <w:rsid w:val="00F948F3"/>
    <w:rsid w:val="00FA0F0E"/>
    <w:rsid w:val="00FA56C5"/>
    <w:rsid w:val="00FC5496"/>
    <w:rsid w:val="00FC5A37"/>
    <w:rsid w:val="00FE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29C4"/>
  <w15:chartTrackingRefBased/>
  <w15:docId w15:val="{89C48106-0542-4540-8874-ABFF72E0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3437F"/>
    <w:rPr>
      <w:vertAlign w:val="superscript"/>
    </w:rPr>
  </w:style>
  <w:style w:type="paragraph" w:styleId="FootnoteText">
    <w:name w:val="footnote text"/>
    <w:basedOn w:val="Normal"/>
    <w:link w:val="FootnoteTextChar"/>
    <w:rsid w:val="00D3437F"/>
    <w:rPr>
      <w:sz w:val="22"/>
      <w:szCs w:val="20"/>
    </w:rPr>
  </w:style>
  <w:style w:type="character" w:customStyle="1" w:styleId="FootnoteTextChar">
    <w:name w:val="Footnote Text Char"/>
    <w:basedOn w:val="DefaultParagraphFont"/>
    <w:link w:val="FootnoteText"/>
    <w:rsid w:val="00D3437F"/>
    <w:rPr>
      <w:rFonts w:ascii="Times New Roman" w:eastAsia="Times New Roman" w:hAnsi="Times New Roman" w:cs="Times New Roman"/>
      <w:szCs w:val="20"/>
    </w:rPr>
  </w:style>
  <w:style w:type="paragraph" w:styleId="Footer">
    <w:name w:val="footer"/>
    <w:basedOn w:val="Normal"/>
    <w:link w:val="FooterChar"/>
    <w:uiPriority w:val="99"/>
    <w:unhideWhenUsed/>
    <w:rsid w:val="00D3437F"/>
    <w:pPr>
      <w:tabs>
        <w:tab w:val="center" w:pos="4680"/>
        <w:tab w:val="right" w:pos="9360"/>
      </w:tabs>
    </w:pPr>
  </w:style>
  <w:style w:type="character" w:customStyle="1" w:styleId="FooterChar">
    <w:name w:val="Footer Char"/>
    <w:basedOn w:val="DefaultParagraphFont"/>
    <w:link w:val="Footer"/>
    <w:uiPriority w:val="99"/>
    <w:rsid w:val="00D3437F"/>
    <w:rPr>
      <w:rFonts w:ascii="Times New Roman" w:eastAsia="Times New Roman" w:hAnsi="Times New Roman" w:cs="Times New Roman"/>
      <w:sz w:val="24"/>
      <w:szCs w:val="24"/>
    </w:rPr>
  </w:style>
  <w:style w:type="paragraph" w:customStyle="1" w:styleId="Default">
    <w:name w:val="Default"/>
    <w:rsid w:val="00D343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40267"/>
    <w:rPr>
      <w:sz w:val="16"/>
      <w:szCs w:val="16"/>
    </w:rPr>
  </w:style>
  <w:style w:type="paragraph" w:styleId="CommentText">
    <w:name w:val="annotation text"/>
    <w:basedOn w:val="Normal"/>
    <w:link w:val="CommentTextChar"/>
    <w:uiPriority w:val="99"/>
    <w:unhideWhenUsed/>
    <w:rsid w:val="00C40267"/>
    <w:rPr>
      <w:sz w:val="20"/>
      <w:szCs w:val="20"/>
    </w:rPr>
  </w:style>
  <w:style w:type="character" w:customStyle="1" w:styleId="CommentTextChar">
    <w:name w:val="Comment Text Char"/>
    <w:basedOn w:val="DefaultParagraphFont"/>
    <w:link w:val="CommentText"/>
    <w:uiPriority w:val="99"/>
    <w:rsid w:val="00C402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267"/>
    <w:rPr>
      <w:b/>
      <w:bCs/>
    </w:rPr>
  </w:style>
  <w:style w:type="character" w:customStyle="1" w:styleId="CommentSubjectChar">
    <w:name w:val="Comment Subject Char"/>
    <w:basedOn w:val="CommentTextChar"/>
    <w:link w:val="CommentSubject"/>
    <w:uiPriority w:val="99"/>
    <w:semiHidden/>
    <w:rsid w:val="00C402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67"/>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E9196D"/>
    <w:rPr>
      <w:sz w:val="20"/>
      <w:szCs w:val="20"/>
    </w:rPr>
  </w:style>
  <w:style w:type="character" w:customStyle="1" w:styleId="EndnoteTextChar">
    <w:name w:val="Endnote Text Char"/>
    <w:basedOn w:val="DefaultParagraphFont"/>
    <w:link w:val="EndnoteText"/>
    <w:uiPriority w:val="99"/>
    <w:semiHidden/>
    <w:rsid w:val="00E919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9196D"/>
    <w:rPr>
      <w:vertAlign w:val="superscript"/>
    </w:rPr>
  </w:style>
  <w:style w:type="character" w:styleId="Hyperlink">
    <w:name w:val="Hyperlink"/>
    <w:basedOn w:val="DefaultParagraphFont"/>
    <w:uiPriority w:val="99"/>
    <w:unhideWhenUsed/>
    <w:rsid w:val="00CC4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970A-9346-42F4-8DA8-0F080FF8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Pages>
  <Words>1001</Words>
  <Characters>5692</Characters>
  <Application>Microsoft Office Word</Application>
  <DocSecurity>0</DocSecurity>
  <PresentationFormat/>
  <Lines>194</Lines>
  <Paragraphs>16</Paragraphs>
  <ScaleCrop>false</ScaleCrop>
  <HeadingPairs>
    <vt:vector size="2" baseType="variant">
      <vt:variant>
        <vt:lpstr>Title</vt:lpstr>
      </vt:variant>
      <vt:variant>
        <vt:i4>1</vt:i4>
      </vt:variant>
    </vt:vector>
  </HeadingPairs>
  <TitlesOfParts>
    <vt:vector size="1" baseType="lpstr">
      <vt:lpstr>Client Alert: Supreme Court to Address Whistleblower Protections (01081663-3).DOCX</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Alert: Supreme Court to Address Whistleblower Protections (01081663-3).DOCX</dc:title>
  <dc:subject/>
  <dc:creator>Laudadio, Gregory T.</dc:creator>
  <cp:keywords/>
  <dc:description/>
  <cp:lastModifiedBy>Tsipras, Patricia B.</cp:lastModifiedBy>
  <cp:revision>53</cp:revision>
  <cp:lastPrinted>2017-11-02T13:28:00Z</cp:lastPrinted>
  <dcterms:created xsi:type="dcterms:W3CDTF">2017-10-31T12:39:00Z</dcterms:created>
  <dcterms:modified xsi:type="dcterms:W3CDTF">2017-11-13T16:01:00Z</dcterms:modified>
</cp:coreProperties>
</file>